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附件</w:t>
      </w:r>
      <w:r>
        <w:rPr>
          <w:rFonts w:hint="eastAsia" w:ascii="黑体" w:hAnsi="黑体" w:eastAsia="黑体" w:cs="仿宋_GB2312"/>
          <w:sz w:val="30"/>
          <w:szCs w:val="30"/>
        </w:rPr>
        <w:t>1</w:t>
      </w:r>
      <w:bookmarkStart w:id="0" w:name="_GoBack"/>
      <w:bookmarkEnd w:id="0"/>
    </w:p>
    <w:p>
      <w:pPr>
        <w:pStyle w:val="2"/>
        <w:spacing w:line="560" w:lineRule="exact"/>
        <w:jc w:val="both"/>
        <w:rPr>
          <w:rFonts w:hint="eastAsia" w:ascii="宋体" w:hAnsi="宋体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30"/>
          <w:szCs w:val="30"/>
          <w:shd w:val="clear" w:color="auto" w:fill="FFFFFF"/>
        </w:rPr>
        <w:t>湘潭市雨湖区2016年公开招聘事业单位工作人员岗位表（30人）</w:t>
      </w:r>
    </w:p>
    <w:tbl>
      <w:tblPr>
        <w:tblStyle w:val="4"/>
        <w:tblW w:w="936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720"/>
        <w:gridCol w:w="720"/>
        <w:gridCol w:w="2520"/>
        <w:gridCol w:w="720"/>
        <w:gridCol w:w="720"/>
        <w:gridCol w:w="720"/>
        <w:gridCol w:w="72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招聘计划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岗位编制性质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专业要求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年龄要求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学历要求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最低服务年限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乡镇街事业单位工作人员10人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列全额拨款事业编制 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经济财务类，且有会计从业资格证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35岁以下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5年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公务员通用体检标准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土建类，主要以户外作业为主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法律类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不限专业，有较强文字综合写作能力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区直机关事业单位工作人员20人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经济财务类，且有会计从业资格证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女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经济财务类，且有会计从业资格证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男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经济财务类，且具有中级以上职称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农林管理类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农学大类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不限专业，有较强文字综合写作能力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法律类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法律类，且已通过全国司法考试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男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法律类，且已通过全国司法考试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女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C20DE"/>
    <w:rsid w:val="57DC20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2016-04-14T08:56:00Z</dcterms:created>
  <dc:creator>Administrator</dc:creator>
  <cp:lastModifiedBy>Administrator</cp:lastModifiedBy>
  <dcterms:modified xsi:type="dcterms:W3CDTF">2016-04-14T08:56:46Z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