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</w:pPr>
      <w:r>
        <w:rPr>
          <w:rStyle w:val="3"/>
          <w:rFonts w:hint="eastAsia" w:ascii="宋体" w:hAnsi="宋体" w:eastAsia="宋体" w:cs="宋体"/>
          <w:kern w:val="0"/>
          <w:sz w:val="36"/>
          <w:szCs w:val="36"/>
          <w:lang w:val="en-US" w:eastAsia="zh-CN" w:bidi="ar"/>
        </w:rPr>
        <w:t>惠安县2018年招聘新任教师职位情况表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6"/>
          <w:szCs w:val="36"/>
          <w:lang w:val="en-US" w:eastAsia="zh-CN" w:bidi="ar"/>
        </w:rPr>
        <w:t> </w:t>
      </w:r>
    </w:p>
    <w:tbl>
      <w:tblPr>
        <w:tblW w:w="10395" w:type="dxa"/>
        <w:jc w:val="center"/>
        <w:tblInd w:w="1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898"/>
        <w:gridCol w:w="599"/>
        <w:gridCol w:w="3450"/>
        <w:gridCol w:w="2447"/>
        <w:gridCol w:w="700"/>
        <w:gridCol w:w="650"/>
        <w:gridCol w:w="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tblHeader/>
          <w:jc w:val="center"/>
        </w:trPr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招聘职位   </w:t>
            </w:r>
          </w:p>
        </w:tc>
        <w:tc>
          <w:tcPr>
            <w:tcW w:w="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招聘单位及人数</w:t>
            </w:r>
          </w:p>
        </w:tc>
        <w:tc>
          <w:tcPr>
            <w:tcW w:w="24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范围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户籍要求</w:t>
            </w:r>
          </w:p>
        </w:tc>
        <w:tc>
          <w:tcPr>
            <w:tcW w:w="8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1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第三实验幼儿园 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紫山第二中心幼儿园 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东桥第二中心幼儿园 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崇武第二中心幼儿园 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东岭第二中心幼儿园 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净峰第二中心幼儿园 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涂寨第二中心幼儿园 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螺阳中心幼儿园（松光分园） 2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幼儿教育、学前教育、学前教育学、艺术教育（学前方向）、美术教育（学前方向）、英语教育（学前方向） 、音乐教育（学前方向）、早期教育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全日制普通高校大专及以上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溪南实验小学1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凤凰城实验小学1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崇武中心小学1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涂寨中心小学 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东岭中心小学 2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净峰中心小学1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城南第三实验小学1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小岞中心小学1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汉（中国）语言文学（教育）、汉语（言）、中国语言文学、中文应用、对外汉语、文学阅读与文学教育、学科教学（语文）、语文教育、初等教育、小学教育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全日制普通高校大专及以上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全日制普通高校大专及以上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允许本县在岗中师班代课教师参加招聘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溪南实验小学 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崇武中心小学1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涂寨中心小学2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东岭中心小学2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净峰中心小学1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凤凰城实验小学1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城南第三实验小学1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数学数学与应用数学、基础数学、应用数学、学科教学（数学）、数学教育、初等教育、小学教育</w:t>
            </w: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凤凰城实验小学1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涂寨中心小学1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英语、学科教学（英语）、英语教育、应用英语、实用英语</w:t>
            </w: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崇武中心小学1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东桥中心小学1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音乐学、音乐表演、学科教学（音乐）、音乐与舞蹈学、音乐教育</w:t>
            </w: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城南实验小学1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城南第二实验小学1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山霞中心小学 1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山霞中心小学1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东岭中心小学 1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美术学、绘画、雕塑、美术，学科教学（美术）、美术教育、艺术设计学、艺术设计</w:t>
            </w: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小学书法教师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凤凰城实验小学1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书法学、书法教育</w:t>
            </w: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 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崇武中学1 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历史学类、政史教育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荷山中学1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惠安四中1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化学教育、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化学，应用化学、学科教学(化学)</w:t>
            </w: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惠安三中1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荷山中学1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物理学类、物理教育</w:t>
            </w: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中学音乐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尾山学校1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东周中学1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嘉惠中学1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音乐学、音乐表演、学科教学（音乐）、音乐与舞蹈学、音乐教育</w:t>
            </w: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特殊教育学校1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特殊教育学、特殊教育、儿童康复、人群康复、听力语言康复技术、音乐康复技术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全日制普通高校大专及以上</w:t>
            </w: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60"/>
              <w:jc w:val="left"/>
              <w:rPr>
                <w:rFonts w:ascii="Arial" w:hAnsi="Arial" w:cs="Arial"/>
                <w:i w:val="0"/>
                <w:caps w:val="0"/>
                <w:color w:val="4A4A4A"/>
                <w:spacing w:val="0"/>
                <w:sz w:val="21"/>
                <w:szCs w:val="21"/>
              </w:rPr>
            </w:pP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44B56"/>
    <w:rsid w:val="2A744B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2018-03-12T06:13:00Z</dcterms:created>
  <dc:creator>DELL</dc:creator>
  <cp:lastModifiedBy>DELL</cp:lastModifiedBy>
  <dcterms:modified xsi:type="dcterms:W3CDTF">2018-03-12T06:14:30Z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