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浙江监管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吴秋敏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浙江监管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0571-88473384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eastAsia="仿宋_GB2312"/>
          <w:color w:val="000000"/>
          <w:sz w:val="32"/>
        </w:rPr>
        <w:t>浙江省杭州市西湖区文三</w:t>
      </w:r>
      <w:r>
        <w:rPr>
          <w:rFonts w:ascii="Times New Roman" w:hAnsi="Times New Roman" w:eastAsia="仿宋_GB2312"/>
          <w:color w:val="000000"/>
          <w:sz w:val="32"/>
        </w:rPr>
        <w:t>路90号</w:t>
      </w:r>
      <w:r>
        <w:rPr>
          <w:rFonts w:eastAsia="仿宋_GB2312"/>
          <w:color w:val="000000"/>
          <w:sz w:val="32"/>
        </w:rPr>
        <w:t>东部软件园</w:t>
      </w: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ascii="Times New Roman" w:eastAsia="仿宋_GB2312"/>
          <w:color w:val="000000"/>
          <w:sz w:val="32"/>
        </w:rPr>
        <w:t>号楼</w:t>
      </w:r>
      <w:r>
        <w:rPr>
          <w:rFonts w:ascii="Times New Roman" w:hAnsi="Times New Roman" w:eastAsia="仿宋_GB2312"/>
          <w:color w:val="000000"/>
          <w:sz w:val="32"/>
        </w:rPr>
        <w:t>3</w:t>
      </w:r>
      <w:r>
        <w:rPr>
          <w:rFonts w:ascii="Times New Roman" w:eastAsia="仿宋_GB2312"/>
          <w:color w:val="000000"/>
          <w:sz w:val="32"/>
        </w:rPr>
        <w:t>楼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310012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浙江监管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浙江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239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5"/>
        <w:gridCol w:w="2295"/>
        <w:gridCol w:w="915"/>
        <w:gridCol w:w="761"/>
        <w:gridCol w:w="1479"/>
        <w:gridCol w:w="1138"/>
        <w:gridCol w:w="1262"/>
        <w:gridCol w:w="1238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辖区市场会计类监管岗位主任科员及以下（400141813001）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吴秋敏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155131261801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华东理工大学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辖区市场会计类监管岗位主任科员及以下（400141813001）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陈雷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155133140715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浙江财经大学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辖区市场会计类监管岗位主任科员及以下（400141813001）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徐志娜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155133141413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中国农业大学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辖区市场法律类监管岗位主任科员及以下（400142813001）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沈亚琦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155111111122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中国社会科学院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研究生院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辖区市场法律类监管岗位主任科员及以下（400142813001）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戴宽明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155132011827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苏州大学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辖区市场计算机类监管岗位主任科员及以下（400143813001）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赵明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155132011729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南京工程学院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112</Words>
  <Characters>643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2018-05-30T06:48:57Z</dcterms:modified>
  <dc:title>中国证监会浙江监管局2018年度拟录用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