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</w:rPr>
      </w:pPr>
      <w:r>
        <w:rPr>
          <w:rFonts w:hint="eastAsia" w:ascii="仿宋_GB2312"/>
          <w:b/>
          <w:sz w:val="44"/>
          <w:lang w:eastAsia="zh-CN"/>
        </w:rPr>
        <w:t>附件</w:t>
      </w:r>
      <w:r>
        <w:rPr>
          <w:rFonts w:hint="eastAsia" w:ascii="仿宋_GB2312"/>
          <w:b/>
          <w:sz w:val="44"/>
          <w:lang w:val="en-US" w:eastAsia="zh-CN"/>
        </w:rPr>
        <w:t>1：</w:t>
      </w:r>
      <w:r>
        <w:rPr>
          <w:rFonts w:hint="eastAsia" w:ascii="仿宋_GB2312"/>
          <w:b/>
          <w:sz w:val="44"/>
        </w:rPr>
        <w:t>应聘报名</w:t>
      </w:r>
      <w:r>
        <w:rPr>
          <w:rFonts w:hint="eastAsia"/>
          <w:b/>
          <w:sz w:val="44"/>
        </w:rPr>
        <w:t>表</w:t>
      </w:r>
    </w:p>
    <w:p>
      <w:pPr>
        <w:ind w:leftChars="-250" w:right="-521" w:rightChars="-248" w:hanging="525" w:hangingChars="25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应聘单位：深圳供电局有限公司                          填表时间：    年  月  日</w:t>
      </w:r>
    </w:p>
    <w:tbl>
      <w:tblPr>
        <w:tblStyle w:val="5"/>
        <w:tblW w:w="9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635"/>
        <w:gridCol w:w="423"/>
        <w:gridCol w:w="635"/>
        <w:gridCol w:w="1375"/>
        <w:gridCol w:w="1513"/>
        <w:gridCol w:w="1188"/>
        <w:gridCol w:w="526"/>
        <w:gridCol w:w="12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身高/体重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m/    Kg</w:t>
            </w:r>
          </w:p>
        </w:tc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693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是否专升本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学位论文</w:t>
            </w:r>
          </w:p>
        </w:tc>
        <w:tc>
          <w:tcPr>
            <w:tcW w:w="840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研究方向</w:t>
            </w:r>
          </w:p>
        </w:tc>
        <w:tc>
          <w:tcPr>
            <w:tcW w:w="840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培养方式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学制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英语等级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专业排名/专业人数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在校职务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ind w:right="84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高考总分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︵</w:t>
            </w:r>
          </w:p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</w:t>
            </w:r>
          </w:p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</w:t>
            </w:r>
          </w:p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</w:t>
            </w:r>
          </w:p>
          <w:p>
            <w:pPr>
              <w:spacing w:line="2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︶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学习（工作）单位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所学专业（工作岗位）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  系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  在  单  位(职务)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7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7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7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  长</w:t>
            </w:r>
          </w:p>
        </w:tc>
        <w:tc>
          <w:tcPr>
            <w:tcW w:w="7980" w:type="dxa"/>
            <w:gridSpan w:val="7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7980" w:type="dxa"/>
            <w:gridSpan w:val="7"/>
            <w:vAlign w:val="top"/>
          </w:tcPr>
          <w:p>
            <w:pPr>
              <w:ind w:left="1785" w:hanging="1785" w:hangingChars="85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声   明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本表所填报内容真实、准确。                             签名：</w:t>
            </w:r>
          </w:p>
        </w:tc>
      </w:tr>
    </w:tbl>
    <w:p>
      <w:pPr>
        <w:ind w:right="632" w:rightChars="301"/>
        <w:rPr>
          <w:rFonts w:hint="eastAsia" w:ascii="仿宋_GB2312" w:eastAsia="仿宋_GB2312"/>
          <w:sz w:val="10"/>
          <w:szCs w:val="1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br w:type="page"/>
      </w:r>
      <w:r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附件2：笔试大纲</w:t>
      </w:r>
    </w:p>
    <w:tbl>
      <w:tblPr>
        <w:tblStyle w:val="5"/>
        <w:tblW w:w="993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相关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笔试知识点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电气类岗位</w:t>
            </w:r>
          </w:p>
        </w:tc>
        <w:tc>
          <w:tcPr>
            <w:tcW w:w="87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1）电路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（电路模型和电路定律/电阻电路的等效变换电阻电路的一般分析方法/电路定理/一阶电路/二阶电路/正弦稳态电路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/耦合电感电路/三相电路/非正弦周期电流电路和信号的频谱/网络函数）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2）电磁场 </w:t>
            </w:r>
            <w:r>
              <w:rPr>
                <w:rFonts w:hint="eastAsia" w:ascii="宋体" w:hAnsi="宋体" w:cs="宋体"/>
                <w:sz w:val="18"/>
                <w:szCs w:val="18"/>
              </w:rPr>
              <w:t>(静电场/稳恒电流的磁场/电磁感应/电磁场理论与电磁波)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3）电机学</w:t>
            </w:r>
            <w:r>
              <w:rPr>
                <w:rFonts w:hint="eastAsia" w:ascii="宋体" w:hAnsi="宋体" w:cs="宋体"/>
                <w:sz w:val="18"/>
                <w:szCs w:val="18"/>
              </w:rPr>
              <w:t>(直流电机/变压器/感应电动机/同步电机)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4）模拟电子技术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(半导体器件/基本放大电路/集成运算放大电路/负反馈放大电路/波形发生器/功率放大器/直流稳压电源/直流斩波电路/交流电力控制电路和交交变频电路/逆变电路/PWM控制技术)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5）数字电子技术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(数字逻辑基础/集成门电路/组合逻辑电路/锁存器和触发器/时序逻辑电路/大规模数字集成电路/脉冲波形的产生与整形/数/模和模数转换器/通信与通信系统/光纤通信/电力线载波通信系统的构成与功能)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6）电力系统分析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基本知识/电力线路及变压器参数和等值电路/简单电力网络的潮流计算/电力系统三相短路的暂态过程/电力系统的有功功率和频率调整/电力系统的无功功率和电压调整/电力系统简单不对称故障分析/电力系统的运行稳定性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7）发电厂电气部分</w:t>
            </w:r>
            <w:r>
              <w:rPr>
                <w:rFonts w:hint="eastAsia" w:ascii="宋体" w:hAnsi="宋体" w:cs="宋体"/>
                <w:sz w:val="18"/>
                <w:szCs w:val="18"/>
              </w:rPr>
              <w:t>(发电、变电和输电/常用计算的基本理论和方法/电气主接线及设计/厂用电接线及设计/导体与电气设备选择/配电装置/电力系统中性点接地方式)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8）继电保护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(电力系统继电保护基础/输电线路电流电压保护/输电线纵联保护/输电线路距离保护/输电线路全线快速保护/电力变压器的继电保护/发电机的继电保护/母线继电保护)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9）电力系统自动装置</w:t>
            </w:r>
            <w:r>
              <w:rPr>
                <w:rFonts w:hint="eastAsia" w:ascii="宋体" w:hAnsi="宋体" w:cs="宋体"/>
                <w:sz w:val="18"/>
                <w:szCs w:val="18"/>
              </w:rPr>
              <w:t>(自动装置及其数据的采集处理/同步发电机的自动并列/同步发电机励磁自动控制系统/励磁自动控制系统的动态特性/电力系统频率及有功功率的自动调节/电力系统自动低频减载)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10）计算机应用基础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财务类岗位</w:t>
            </w:r>
          </w:p>
          <w:p>
            <w:pPr>
              <w:jc w:val="both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1)微观经济学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（需求—供给分析/弹性理论/消费者行为分析/生产决策分析/市场结构理论/一般均衡与经济效率/市场失灵和微观经济政策）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2)宏观经济学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（国民收入核算/简单国民收入决定理论/产品市场和货币市场的一般均衡/开放条件下的宏观经济运行/财政政策与货币政策/总需求－总供给模型/通货膨胀与失业/经济增长与经济波动）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（组织管理基本原理/企业与环境的关系/企业目标与竞争战略/国际化经营战略/企业制度与公司治理/企业外部关系协调/组织结构与制度规范/计划与控制/激励/领导/企业文化/变革与发展过程管理/风险管理）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</w:t>
            </w:r>
            <w:r>
              <w:rPr>
                <w:rFonts w:hint="eastAsia" w:ascii="宋体" w:hAnsi="宋体" w:cs="宋体"/>
                <w:sz w:val="18"/>
                <w:szCs w:val="18"/>
              </w:rPr>
              <w:t>财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务会计（</w:t>
            </w:r>
            <w:r>
              <w:rPr>
                <w:rFonts w:hint="eastAsia" w:ascii="宋体" w:hAnsi="宋体" w:cs="宋体"/>
                <w:sz w:val="18"/>
                <w:szCs w:val="18"/>
              </w:rPr>
              <w:t>含基础会计与中级财务会计）（会计信息的生成/货币资金与应收款项/存货/投资/固定资产/无形资产/负债/收入、费用和利润/所有者权益/财务报表）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5)财务管理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（财务管理导论/财务管理的价值观念/财务分析/财务战略与预算/长期筹资方式/资本结构决策/投资决策原理/投资决策实务/短期资产管理/短期筹资管理/股利理论与政策/公司并购管理/公司重组、破产和清算）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6)成本与管理会计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成本信息与企业会计/成本计算的基本原理/品种法产品成本计算/分批法产品成本计算/分步法产品成本计算/作业成本计算和其他成本分配/成本性态分析和变动成本法/本量利关系的分析/短期经营决策分析/标准成本系统/责任会计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7)审计学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审计的职能和作用/审计的种类、方法和程序/我国审计的组织形式/审计准则和审计依据/审计证据/审计工作底稿/审计计划/重要性和审计风险/内部控制系统及其评审/审计技术和方法的发展（账表导向审计、系统导向审计、风险导向审计）/销售与收款循环审计/购货与付款循环审计/生产与费用循环审计/筹资与投资循环审计/货币资金审计/特殊项目审计/审计报告和管理建议书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8)税法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我国现行税法体系/我国税收管理体制/增值税法/消费税法/营业税法/城市维护建设税法/关税法/资源税法/土地增值税法/房产税、城镇土地使用税和耕地占用税法/车辆购置税和车船税法/印花税和契税法/企业所得税法/个人所得税法/国际税收协定/税收征收管理法/税务行政处罚、复议与诉讼/税务代理与税务筹划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类岗位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1）法学绪论（</w:t>
            </w:r>
            <w:r>
              <w:rPr>
                <w:rFonts w:hint="eastAsia" w:ascii="宋体" w:hAnsi="宋体" w:cs="宋体"/>
                <w:sz w:val="18"/>
                <w:szCs w:val="18"/>
              </w:rPr>
              <w:t>法的概念/法律规则/法律原则/法的渊源/法律部门/法的效力/法律关系/法律责任/法的制定/法的实施/法的适用/法律解释/法的产生/法的历史类型/法系/法治/法与政策的联系与区别/法与其他社会规范（政治、道德、宗教）的关系/法与社会、经济的一般关系/人权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2）民法总论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民法的调整对象/民法的基本原则/民事法律关系/民事法律关系的要素/自然人/个体工商户、农村承包经营户与个人合伙/法人/民事法律行为概念、特征和分类/意思表示/民事法律行为的成立/民事法律行为的生效/附条件与附期限的民事法律行为/无效民事行为/可变更、可撤销的民事行为/代理/代理权/无权代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3）商法总论（</w:t>
            </w:r>
            <w:r>
              <w:rPr>
                <w:rFonts w:hint="eastAsia" w:ascii="宋体" w:hAnsi="宋体" w:cs="宋体"/>
                <w:sz w:val="18"/>
                <w:szCs w:val="18"/>
              </w:rPr>
              <w:t>商法的概念与特征/商法的调整对象/商法的基本原则/商人制度/商自然人/商事合伙/商法人/商行为/一般商行为/特殊商行为/商事代理的概念、特征和范围/商事代理中的权利义务关系/商事登记的概念和特点/商事登记的范围和种类/商事登记机关和登记程序/商事登记的效力/商号/营业转让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4）物权法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物权的概念与性质/物权的客体及其类型/物权的效力/物权变动/物权的保护/所有权的概念和特征/所有权的内容/所有权的类型/所有权取得的方法/共有的概念和特征/共有的类型/用益物权的概念和特征/用益物权的类型/担保物权的概念和特征/担保物权的类型/占有的概念和性质/占有的类型/占有的效力和保护/占有的取得和消灭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5）债权法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债的特征、要素、发生与类型/债的履行规则/债的不履行与不适当履行/债的保全/债的担保/债的转移/债的消灭/合同的订立/合同的内容和解释/合同的效力/合同履行中的抗辩权/合同的变更/合同的解除/违约责任/有名合同的类型/不当得利之债/无因管理之债/侵权之债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6）经济法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（经济法的概念/反垄断法/反不正当竞争法/消费者权益保护法/产品质量法/食品安全法/商业银行法/银行业监督管理法/税法/审计法/劳动合同法/劳动基准法/劳动争议/土地管理法/城乡规划法/城市房地产管理法）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7）公司法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公司法的基本原则/公司的设立/公司的资本与股份/公司的的股东、董事、监事、高级管理人员/公司的财务与会计制度/公司债/公司的变更、合并与分立/公司的解散与清算/外国公司的分支机构/有限责任公司/股份有限公司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8）民事诉讼法与仲裁制度</w:t>
            </w:r>
            <w:r>
              <w:rPr>
                <w:rFonts w:hint="eastAsia" w:ascii="宋体" w:hAnsi="宋体" w:cs="宋体"/>
                <w:sz w:val="18"/>
                <w:szCs w:val="18"/>
              </w:rPr>
              <w:t>（民事诉讼主管/民事诉讼管辖/诉讼参加人/民事证据/民事诉讼中的证明/期间、送达/法院调解/财产保全和先予执行/第一审普通程序/简易程序/第二审程序/特别程序/审判监督程序/督促程序/公示催告程序/执行程序/民事仲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造价类岗位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1)项目管理基础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（项目与项目管理/项目过程与项目决策/范围管理计划/项目时间管理/项目质量管理/项目风险管理/项目沟通管理/项目采购管理）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2)工程经济学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（含时间因素的货币等值计算/投资方案的评价判据/成本和费用估算技术/工程方案的比较和选择/建设工程项目投资的财务分析/不确定分析与风险分析/价值工程）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3)运筹学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（线性规划与单纯形法/运输问题/整数规划/目标规划/动态规划/网络计划/图与网络优化）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4)建设法规</w:t>
            </w:r>
            <w:r>
              <w:rPr>
                <w:rFonts w:hint="eastAsia" w:ascii="宋体" w:hAnsi="宋体" w:cs="宋体"/>
                <w:sz w:val="18"/>
                <w:szCs w:val="18"/>
              </w:rPr>
              <w:t>（概论/建筑法/招标投标法律制度/勘察设计法律制度/工程质量法律制度/工程安全法律制度/环境保护法律制度）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5)工程造价管理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造价的构成/工程建设定额/工程单价/工程造价的计价模式/工程计量/投资决策阶段的工程造价管理/设计阶段的工程造价管理/招投标阶段的工程造价管理/施工阶段的工程造价管理/竣工验收、后评估阶段的工程造价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6)工程项目管理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(工程项目管理/工程项目的前期策划/工程项目招投标与合同管理/工程项目管理组织与沟通/工程项目进度管理/工程项目成本管理/工程项目质量管理/工程项目风险管理与保险/生产要素管理、安全管理与现场管理)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7)工程合同管理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(工程合同管理/建设工程施工合同/工程材料设备采购合同/国际工程合同/业主方的合同管理/承包方的工程合同管理)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8)工程信息管理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(建设工程管理基本理论/建设工程信息化/项目信息门户/建设工程生命周期管理BLM/BLM在建设工程中的实践)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金桥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">
    <w:altName w:val="Cable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bleFon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07590"/>
    <w:rsid w:val="0484658D"/>
    <w:rsid w:val="0D551C89"/>
    <w:rsid w:val="10E13D7A"/>
    <w:rsid w:val="12515EE9"/>
    <w:rsid w:val="155E3B3D"/>
    <w:rsid w:val="223918F6"/>
    <w:rsid w:val="24344C57"/>
    <w:rsid w:val="246461AE"/>
    <w:rsid w:val="2F336A3E"/>
    <w:rsid w:val="340641B7"/>
    <w:rsid w:val="39987953"/>
    <w:rsid w:val="3B5176F3"/>
    <w:rsid w:val="3BEB1484"/>
    <w:rsid w:val="485D69D4"/>
    <w:rsid w:val="5F140102"/>
    <w:rsid w:val="5FCD0D98"/>
    <w:rsid w:val="63771925"/>
    <w:rsid w:val="65E4683C"/>
    <w:rsid w:val="669E441A"/>
    <w:rsid w:val="66F73D37"/>
    <w:rsid w:val="6E561107"/>
    <w:rsid w:val="787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over"/>
    <w:basedOn w:val="4"/>
    <w:qFormat/>
    <w:uiPriority w:val="0"/>
    <w:rPr>
      <w:shd w:val="clear" w:fill="FA7C57"/>
    </w:rPr>
  </w:style>
  <w:style w:type="character" w:customStyle="1" w:styleId="7">
    <w:name w:val="hover2"/>
    <w:basedOn w:val="4"/>
    <w:qFormat/>
    <w:uiPriority w:val="0"/>
    <w:rPr>
      <w:shd w:val="clear" w:fill="FA7C5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wangdongxu</dc:creator>
  <cp:lastModifiedBy>梁呈茂</cp:lastModifiedBy>
  <cp:lastPrinted>2018-09-21T07:36:00Z</cp:lastPrinted>
  <dcterms:modified xsi:type="dcterms:W3CDTF">2018-09-22T05:15:12Z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