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333333"/>
          <w:spacing w:val="0"/>
          <w:sz w:val="24"/>
          <w:szCs w:val="24"/>
        </w:rPr>
      </w:pPr>
      <w:bookmarkStart w:id="0" w:name="_GoBack"/>
      <w:r>
        <w:rPr>
          <w:rStyle w:val="4"/>
          <w:rFonts w:hint="eastAsia" w:ascii="微软雅黑" w:hAnsi="微软雅黑" w:eastAsia="微软雅黑" w:cs="微软雅黑"/>
          <w:b/>
          <w:i w:val="0"/>
          <w:caps w:val="0"/>
          <w:color w:val="333333"/>
          <w:spacing w:val="0"/>
          <w:sz w:val="24"/>
          <w:szCs w:val="24"/>
          <w:bdr w:val="none" w:color="auto" w:sz="0" w:space="0"/>
        </w:rPr>
        <w:t>国家执业药师资格考试报考专业参考目录（中职中专）</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bdr w:val="none" w:color="auto" w:sz="0" w:space="0"/>
        </w:rPr>
        <w:t> </w:t>
      </w:r>
    </w:p>
    <w:tbl>
      <w:tblPr>
        <w:tblW w:w="6641" w:type="dxa"/>
        <w:jc w:val="center"/>
        <w:tblInd w:w="833" w:type="dxa"/>
        <w:tblBorders>
          <w:top w:val="none" w:color="auto" w:sz="0" w:space="0"/>
          <w:left w:val="none" w:color="auto" w:sz="0" w:space="0"/>
          <w:bottom w:val="single" w:color="EAEAEA" w:sz="6" w:space="0"/>
          <w:right w:val="single" w:color="EAEAEA"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gridCol w:w="1359"/>
        <w:gridCol w:w="1406"/>
        <w:gridCol w:w="1315"/>
        <w:gridCol w:w="1659"/>
      </w:tblGrid>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3667" w:type="dxa"/>
            <w:gridSpan w:val="3"/>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2010年—现在的专业代码及专业名称</w:t>
            </w:r>
          </w:p>
        </w:tc>
        <w:tc>
          <w:tcPr>
            <w:tcW w:w="2974" w:type="dxa"/>
            <w:gridSpan w:val="2"/>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2010年之前的专业编码及专业名称</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专业类</w:t>
            </w:r>
          </w:p>
        </w:tc>
        <w:tc>
          <w:tcPr>
            <w:tcW w:w="13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专业代码</w:t>
            </w:r>
          </w:p>
        </w:tc>
        <w:tc>
          <w:tcPr>
            <w:tcW w:w="1406"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专业名称</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原专业编码</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原专业名称</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restart"/>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10医药卫生类</w:t>
            </w: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100100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护理</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0801</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护理</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100300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农村医学</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 </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新增专业</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101100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药剂</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0813</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药剂</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101200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中医护理</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0816</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中医护理</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vMerge w:val="restart"/>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101300</w:t>
            </w:r>
          </w:p>
        </w:tc>
        <w:tc>
          <w:tcPr>
            <w:tcW w:w="1406" w:type="dxa"/>
            <w:vMerge w:val="restart"/>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0814</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406"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0815</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中医骨伤</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101400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藏医医疗与藏药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0820</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藏医医疗</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101500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维医医疗与维药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0821</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维医医疗</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101600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蒙医医疗与蒙药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0822</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蒙医医疗及蒙药</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101700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中医康复保健</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0819</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中医康复保健</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101800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0817</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中药</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101900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中药制药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0818</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中药制药</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102000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制药技术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 </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新增专业</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102100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生物技术制药</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 </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新增专业</w:t>
            </w:r>
          </w:p>
        </w:tc>
      </w:tr>
      <w:tr>
        <w:tblPrEx>
          <w:tblBorders>
            <w:top w:val="none" w:color="auto" w:sz="0" w:space="0"/>
            <w:left w:val="none" w:color="auto" w:sz="0" w:space="0"/>
            <w:bottom w:val="single" w:color="EAEAEA" w:sz="6" w:space="0"/>
            <w:right w:val="single" w:color="EAEAEA"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02" w:type="dxa"/>
            <w:vMerge w:val="continue"/>
            <w:tcBorders>
              <w:top w:val="single" w:color="EAEAEA" w:sz="6" w:space="0"/>
              <w:left w:val="single" w:color="EAEAEA" w:sz="6" w:space="0"/>
            </w:tcBorders>
            <w:shd w:val="clear"/>
            <w:tcMar>
              <w:top w:w="0" w:type="dxa"/>
              <w:left w:w="0" w:type="dxa"/>
              <w:bottom w:w="0" w:type="dxa"/>
              <w:right w:w="0" w:type="dxa"/>
            </w:tcMar>
            <w:vAlign w:val="center"/>
          </w:tcPr>
          <w:p>
            <w:pPr>
              <w:rPr>
                <w:rFonts w:hint="eastAsia" w:ascii="微软雅黑" w:hAnsi="微软雅黑" w:eastAsia="微软雅黑" w:cs="微软雅黑"/>
                <w:b w:val="0"/>
                <w:i w:val="0"/>
                <w:caps w:val="0"/>
                <w:color w:val="333333"/>
                <w:spacing w:val="0"/>
                <w:sz w:val="24"/>
                <w:szCs w:val="24"/>
              </w:rPr>
            </w:pPr>
          </w:p>
        </w:tc>
        <w:tc>
          <w:tcPr>
            <w:tcW w:w="1359"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102200</w:t>
            </w:r>
          </w:p>
        </w:tc>
        <w:tc>
          <w:tcPr>
            <w:tcW w:w="1406" w:type="dxa"/>
            <w:tcBorders>
              <w:top w:val="single" w:color="EAEAEA" w:sz="6" w:space="0"/>
              <w:left w:val="single" w:color="EAEAEA"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药品食品检验</w:t>
            </w:r>
          </w:p>
        </w:tc>
        <w:tc>
          <w:tcPr>
            <w:tcW w:w="1315"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 </w:t>
            </w:r>
          </w:p>
        </w:tc>
        <w:tc>
          <w:tcPr>
            <w:tcW w:w="1659" w:type="dxa"/>
            <w:tcBorders>
              <w:top w:val="single" w:color="EAEAEA" w:sz="6" w:space="0"/>
              <w:left w:val="single" w:color="EAEAEA"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rPr>
              <w:t>新增专业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注：a.目录源于教育部印发的《中等职业学校专业目录（2010年修订）》（教职成〔2010〕4号）。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rPr>
        <w:t>b.2010年之前的中专专业目录可以参照教育部及各省市当时发布的相关专业目录来执行。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44D6E"/>
    <w:rsid w:val="3BB22B9F"/>
    <w:rsid w:val="4E644D6E"/>
    <w:rsid w:val="71B6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2017-07-21T05:57:00Z</dcterms:created>
  <dc:creator>Administrator</dc:creator>
  <cp:lastModifiedBy>Administrator</cp:lastModifiedBy>
  <dcterms:modified xsi:type="dcterms:W3CDTF">2017-07-21T06:00:58Z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