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2016年度</w:t>
      </w:r>
      <w:r>
        <w:rPr>
          <w:rFonts w:hint="eastAsia" w:ascii="宋体" w:hAnsi="宋体"/>
          <w:b/>
          <w:sz w:val="32"/>
          <w:szCs w:val="32"/>
          <w:lang w:eastAsia="zh-CN"/>
        </w:rPr>
        <w:t>补充招聘</w:t>
      </w:r>
      <w:r>
        <w:rPr>
          <w:rFonts w:hint="eastAsia" w:ascii="宋体" w:hAnsi="宋体"/>
          <w:b/>
          <w:sz w:val="32"/>
          <w:szCs w:val="32"/>
        </w:rPr>
        <w:t>汕头市政府购买基层公共管理和社会服务岗位</w:t>
      </w:r>
      <w:r>
        <w:rPr>
          <w:rFonts w:hint="eastAsia" w:ascii="宋体" w:hAnsi="宋体"/>
          <w:b/>
          <w:sz w:val="32"/>
          <w:szCs w:val="32"/>
          <w:lang w:eastAsia="zh-CN"/>
        </w:rPr>
        <w:t>人员</w:t>
      </w:r>
      <w:r>
        <w:rPr>
          <w:rFonts w:hint="eastAsia" w:ascii="宋体" w:hAnsi="宋体"/>
          <w:b/>
          <w:sz w:val="32"/>
          <w:szCs w:val="32"/>
        </w:rPr>
        <w:t>通过资格审查人员</w:t>
      </w:r>
      <w:r>
        <w:rPr>
          <w:rFonts w:hint="eastAsia" w:ascii="宋体" w:hAnsi="宋体"/>
          <w:b/>
          <w:sz w:val="32"/>
          <w:szCs w:val="32"/>
          <w:lang w:eastAsia="zh-CN"/>
        </w:rPr>
        <w:t>名单</w:t>
      </w:r>
    </w:p>
    <w:tbl>
      <w:tblPr>
        <w:tblStyle w:val="7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115"/>
        <w:gridCol w:w="1050"/>
        <w:gridCol w:w="300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8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招聘职位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领取准考证地点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姚立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金平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区街道（乡镇）人社所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金平区汕樟路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79号金平区人社局办公楼4楼404就业股（电话：88312002）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陆杭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洪海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龙湖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区街道（乡镇）人社所</w:t>
            </w:r>
          </w:p>
        </w:tc>
        <w:tc>
          <w:tcPr>
            <w:tcW w:w="2430" w:type="dxa"/>
            <w:vMerge w:val="restart"/>
            <w:textDirection w:val="lrTb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龙湖区政府办公大楼309室龙湖区人社局就业股（电话：88260954）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余佳莹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蔡安纳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纪家德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吴丹媚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姚思佳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赵端丽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蔡秀珠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蔡少贤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谢淑芳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肖佳彤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王珩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陈晓屏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孙晓华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陈梓丹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谢淑丽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林伟宾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林晓菁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张梓炫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杜瑛琦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黄乐琪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濠江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区街道（乡镇）人社所</w:t>
            </w:r>
          </w:p>
        </w:tc>
        <w:tc>
          <w:tcPr>
            <w:tcW w:w="2430" w:type="dxa"/>
            <w:vMerge w:val="restart"/>
            <w:textDirection w:val="lrTb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濠江区海旁路西门头外濠江花园对面（原区劳动局）3楼就业股（电话：87398178）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蔡宗捷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林跃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澄海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区街道（乡镇）人社所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澄海区文祠东路307号区人社局207室（电话：85866348）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王彧雯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林佳姿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肖玪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许佩红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林淳逸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潘湜楠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陈英其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陈婕娜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郑立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陈迪媛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杨少波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吴英梓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施少帆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林聘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林梓泓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杜佳阳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郑妍芸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杜汝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蔡榕莹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林沛洁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陈瑶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陈雁越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杜冰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金烨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林佳欢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潮阳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区街道（乡镇）人社所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潮阳区政府办公大楼附楼1楼区人才交流管理办公室（电话：83813499）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刘凯玲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姚莉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陈锐纯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蔡丹琳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彭丹燕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吴晓洁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肖玉婷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吴泽楷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李海银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郑佩群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郑睦灵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郑玩玲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郑泽虹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郑煜楠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马庆泽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姚泽伟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胡贵忠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潮南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区街道（乡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镇）人社所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潮南区峡山街道北六路区政府内便民服务中心人社窗口（电话：87794278）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许晓旭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林达妮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陈秋娜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南澳县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街道（乡镇）人社所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南澳县后宅镇中兴路文化广场北侧县人社局3楼就业培训股（电话：86802206）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黄奕珊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章松雄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黄泽阳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宋体" w:hAnsi="宋体"/>
          <w:b/>
          <w:sz w:val="36"/>
          <w:szCs w:val="36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B7D6C"/>
    <w:rsid w:val="09A42D54"/>
    <w:rsid w:val="0FDA0A73"/>
    <w:rsid w:val="1F1D55EB"/>
    <w:rsid w:val="26590224"/>
    <w:rsid w:val="40283CA6"/>
    <w:rsid w:val="4B4C3CB5"/>
    <w:rsid w:val="50E05645"/>
    <w:rsid w:val="5DCD37C5"/>
    <w:rsid w:val="60BB7D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27"/>
    </w:pPr>
    <w:rPr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2016-07-20T08:28:00Z</dcterms:created>
  <dc:creator>strs</dc:creator>
  <cp:lastModifiedBy>strs</cp:lastModifiedBy>
  <cp:lastPrinted>2016-07-20T09:01:23Z</cp:lastPrinted>
  <dcterms:modified xsi:type="dcterms:W3CDTF">2016-07-20T09:27:27Z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