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Lines="0" w:beforeAutospacing="0" w:afterLines="0" w:afterAutospacing="0" w:line="560" w:lineRule="exact"/>
        <w:ind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ind w:right="0" w:rightChars="0" w:firstLine="3080" w:firstLineChars="7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val="en-US"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eastAsia="zh-CN"/>
        </w:rPr>
        <w:t>单位简介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 w:bidi="ar"/>
        </w:rPr>
        <w:t>佛山市禅城区人民医院：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是一所以口腔专科、肛肠消化病专科、中医专科诊疗为品牌，以社区卫生服务为标杆，以家庭病床服务为特色，集医疗、教学、科研和预防保健为一体，专科特色明显的一级甲等医院。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  <w:t>佛山市中医院禅城高新区医院：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是一所以骨伤科、泌尿外科、老年病专科、妇产科、儿科为医学重点专科服务品牌，集医疗急救、教学科研、预防康复为一体的二级综合医院。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AC55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刘娟珊</cp:lastModifiedBy>
  <dcterms:modified xsi:type="dcterms:W3CDTF">2018-08-03T07:43:50Z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