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9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1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聘机关事业单位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辅助工作人员报名登记表</w:t>
      </w:r>
      <w:bookmarkEnd w:id="1"/>
    </w:p>
    <w:p>
      <w:pPr>
        <w:pStyle w:val="9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4"/>
        </w:rPr>
        <w:t>职位代码：</w:t>
      </w:r>
    </w:p>
    <w:tbl>
      <w:tblPr>
        <w:tblStyle w:val="8"/>
        <w:tblW w:w="9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9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9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9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 年   月   日</w:t>
      </w:r>
    </w:p>
    <w:tbl>
      <w:tblPr>
        <w:tblStyle w:val="8"/>
        <w:tblW w:w="92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2077"/>
    <w:rsid w:val="4D9120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uiPriority w:val="0"/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2017-11-09T06:22:00Z</dcterms:created>
  <dc:creator>oxy</dc:creator>
  <cp:lastModifiedBy>oxy</cp:lastModifiedBy>
  <dcterms:modified xsi:type="dcterms:W3CDTF">2017-11-09T06:23:09Z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