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1225"/>
        <w:gridCol w:w="801"/>
        <w:gridCol w:w="1193"/>
        <w:gridCol w:w="5143"/>
      </w:tblGrid>
      <w:tr w:rsidR="00D1782A" w:rsidRPr="00D1782A" w:rsidTr="00D1782A">
        <w:trPr>
          <w:trHeight w:val="397"/>
          <w:jc w:val="center"/>
        </w:trPr>
        <w:tc>
          <w:tcPr>
            <w:tcW w:w="129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工作职位</w:t>
            </w:r>
          </w:p>
        </w:tc>
        <w:tc>
          <w:tcPr>
            <w:tcW w:w="825"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 人数</w:t>
            </w:r>
          </w:p>
        </w:tc>
        <w:tc>
          <w:tcPr>
            <w:tcW w:w="1260"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学历要求</w:t>
            </w:r>
          </w:p>
        </w:tc>
        <w:tc>
          <w:tcPr>
            <w:tcW w:w="5475"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hint="eastAsia"/>
                <w:color w:val="333333"/>
                <w:sz w:val="21"/>
                <w:szCs w:val="21"/>
              </w:rPr>
              <w:t>岗位要求</w:t>
            </w:r>
          </w:p>
        </w:tc>
      </w:tr>
      <w:tr w:rsidR="00D1782A" w:rsidRPr="00D1782A" w:rsidTr="00D1782A">
        <w:trPr>
          <w:trHeight w:val="6850"/>
          <w:jc w:val="center"/>
        </w:trPr>
        <w:tc>
          <w:tcPr>
            <w:tcW w:w="1297"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hint="eastAsia"/>
                <w:color w:val="333333"/>
                <w:sz w:val="21"/>
                <w:szCs w:val="21"/>
              </w:rPr>
              <w:t>党建指导员</w:t>
            </w:r>
          </w:p>
        </w:tc>
        <w:tc>
          <w:tcPr>
            <w:tcW w:w="82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hint="eastAsia"/>
                <w:color w:val="333333"/>
                <w:sz w:val="21"/>
                <w:szCs w:val="21"/>
              </w:rPr>
              <w:t>3</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sz w:val="24"/>
                <w:szCs w:val="24"/>
              </w:rPr>
              <w:t> </w:t>
            </w:r>
          </w:p>
        </w:tc>
        <w:tc>
          <w:tcPr>
            <w:tcW w:w="1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hint="eastAsia"/>
                <w:color w:val="333333"/>
                <w:sz w:val="21"/>
                <w:szCs w:val="21"/>
              </w:rPr>
              <w:t>本科及以上</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sz w:val="24"/>
                <w:szCs w:val="24"/>
              </w:rPr>
              <w:t> </w:t>
            </w:r>
          </w:p>
        </w:tc>
        <w:tc>
          <w:tcPr>
            <w:tcW w:w="547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1、能自觉践行马列主义、毛泽东思想、邓小平理论、“三个代表”重要思想、科学发展观、习近平新时代中国特色社会主义思想，拥护党的路线、方针和政策，有一定的政策理论水平；</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2、党性强、作风正，熟悉党的基本知识，热爱党建工作，有独立工作能力、较强的组织协调、语言和文字表达能力，熟悉计算机基本操作和常用办公软件；</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3.广州市户口，男性在40周岁以下、女性在35周岁以下，身体健康；</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4、中共党员，有1年以上党龄（计算时间截止至2018年7月20日）；</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5、全日制本科及以上学历，B0501汉语言文学及相关专业或本人在党政专业报刊刊登过作品者优先考虑；</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6、因岗位日常需走访社区、企业，联系党建、党务工作，具备党政机关、企事业单位党建工作经验或基层工作经验者优先考虑。</w:t>
            </w:r>
          </w:p>
        </w:tc>
      </w:tr>
      <w:tr w:rsidR="00D1782A" w:rsidRPr="00D1782A" w:rsidTr="00D1782A">
        <w:trPr>
          <w:trHeight w:val="6653"/>
          <w:jc w:val="center"/>
        </w:trPr>
        <w:tc>
          <w:tcPr>
            <w:tcW w:w="1297"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hint="eastAsia"/>
                <w:color w:val="333333"/>
                <w:sz w:val="21"/>
                <w:szCs w:val="21"/>
              </w:rPr>
              <w:lastRenderedPageBreak/>
              <w:t>综合类文员</w:t>
            </w:r>
          </w:p>
        </w:tc>
        <w:tc>
          <w:tcPr>
            <w:tcW w:w="82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sz w:val="24"/>
                <w:szCs w:val="24"/>
              </w:rPr>
              <w:t> </w:t>
            </w:r>
          </w:p>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hint="eastAsia"/>
                <w:color w:val="333333"/>
                <w:sz w:val="21"/>
                <w:szCs w:val="21"/>
              </w:rPr>
              <w:t>1</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sz w:val="24"/>
                <w:szCs w:val="24"/>
              </w:rPr>
              <w:t> </w:t>
            </w:r>
          </w:p>
        </w:tc>
        <w:tc>
          <w:tcPr>
            <w:tcW w:w="1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sz w:val="24"/>
                <w:szCs w:val="24"/>
              </w:rPr>
              <w:t> </w:t>
            </w:r>
          </w:p>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hint="eastAsia"/>
                <w:color w:val="333333"/>
                <w:sz w:val="21"/>
                <w:szCs w:val="21"/>
              </w:rPr>
              <w:t>本科及以上</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sz w:val="24"/>
                <w:szCs w:val="24"/>
              </w:rPr>
              <w:t> </w:t>
            </w:r>
          </w:p>
        </w:tc>
        <w:tc>
          <w:tcPr>
            <w:tcW w:w="547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1.拥护中国共产党的领导，遵纪守法，政治觉悟高，思想素质好，无违法犯罪记录，符合有关政审条件；</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2.具有国家承认的全日制本科及以上学历，研究生学历专业不限，本科学历B0501中国语言文学类、B0503新闻传播学类、B1202工商管理类、B1204公共管理类、B1205图书情报与档案管理类、B1208电子商务类、B0301法学类；</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3.具有较强的文字和口头表达能力，熟悉电脑操作及有会议平板使用经验；</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4.身体健康，具备良好的身体和心理素质，没有违反计划生育政策和有关规定，服从工作安排；</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5.年龄在35岁以下（1983年1月1日以后出生）；</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6.具有政府部门工作经验或拥有（B1）驾驶证以上在同等条件下优先录取。</w:t>
            </w:r>
          </w:p>
        </w:tc>
      </w:tr>
      <w:tr w:rsidR="00D1782A" w:rsidRPr="00D1782A" w:rsidTr="00D1782A">
        <w:trPr>
          <w:trHeight w:val="1545"/>
          <w:jc w:val="center"/>
        </w:trPr>
        <w:tc>
          <w:tcPr>
            <w:tcW w:w="1297"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会计人员</w:t>
            </w:r>
          </w:p>
        </w:tc>
        <w:tc>
          <w:tcPr>
            <w:tcW w:w="82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hint="eastAsia"/>
                <w:color w:val="333333"/>
                <w:sz w:val="21"/>
                <w:szCs w:val="21"/>
              </w:rPr>
              <w:t>1</w:t>
            </w:r>
          </w:p>
        </w:tc>
        <w:tc>
          <w:tcPr>
            <w:tcW w:w="1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jc w:val="center"/>
              <w:rPr>
                <w:rFonts w:ascii="宋体" w:eastAsia="宋体" w:hAnsi="宋体" w:cs="宋体"/>
                <w:sz w:val="24"/>
                <w:szCs w:val="24"/>
              </w:rPr>
            </w:pPr>
            <w:r w:rsidRPr="00D1782A">
              <w:rPr>
                <w:rFonts w:ascii="宋体" w:eastAsia="宋体" w:hAnsi="宋体" w:cs="宋体" w:hint="eastAsia"/>
                <w:color w:val="333333"/>
                <w:sz w:val="21"/>
                <w:szCs w:val="21"/>
              </w:rPr>
              <w:t>专科及以上</w:t>
            </w:r>
          </w:p>
        </w:tc>
        <w:tc>
          <w:tcPr>
            <w:tcW w:w="547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1.政治思想好，综合素质高，遵纪守法，品行端正，具有良好的职业道德，工作严谨，有较强的社会责任感；</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2.财经会计、财务管理专业大专或以上学历，具有3年及以上相关工作经验；</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3.年龄在40周岁以下（其他条件优秀者年龄可适当放宽），身体健康；</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4.熟悉公文写作格式，有一定的文字组织能力；</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5.具有较强的沟通协调能力；</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6.熟悉计算机word、excel等办公软件操作；</w:t>
            </w:r>
          </w:p>
          <w:p w:rsidR="00D1782A" w:rsidRPr="00D1782A" w:rsidRDefault="00D1782A" w:rsidP="00D1782A">
            <w:pPr>
              <w:adjustRightInd/>
              <w:snapToGrid/>
              <w:spacing w:before="225" w:after="225" w:line="360" w:lineRule="atLeast"/>
              <w:rPr>
                <w:rFonts w:ascii="宋体" w:eastAsia="宋体" w:hAnsi="宋体" w:cs="宋体"/>
                <w:sz w:val="24"/>
                <w:szCs w:val="24"/>
              </w:rPr>
            </w:pPr>
            <w:r w:rsidRPr="00D1782A">
              <w:rPr>
                <w:rFonts w:ascii="宋体" w:eastAsia="宋体" w:hAnsi="宋体" w:cs="宋体" w:hint="eastAsia"/>
                <w:color w:val="333333"/>
                <w:sz w:val="21"/>
                <w:szCs w:val="21"/>
              </w:rPr>
              <w:t>7.具有会计账务实务经验、具有会计专业技术初级以上职称。</w:t>
            </w:r>
          </w:p>
        </w:tc>
      </w:tr>
    </w:tbl>
    <w:p w:rsidR="00D1782A" w:rsidRPr="00D1782A" w:rsidRDefault="00D1782A" w:rsidP="00D1782A">
      <w:pPr>
        <w:adjustRightInd/>
        <w:snapToGrid/>
        <w:spacing w:before="225" w:after="225" w:line="360" w:lineRule="atLeast"/>
        <w:rPr>
          <w:rFonts w:ascii="Microsoft Yahei" w:eastAsia="宋体" w:hAnsi="Microsoft Yahei" w:cs="宋体"/>
          <w:color w:val="333333"/>
          <w:sz w:val="24"/>
          <w:szCs w:val="24"/>
        </w:rPr>
      </w:pPr>
      <w:r w:rsidRPr="00D1782A">
        <w:rPr>
          <w:rFonts w:ascii="Microsoft Yahei" w:eastAsia="宋体" w:hAnsi="Microsoft Yahei" w:cs="宋体"/>
          <w:color w:val="333333"/>
          <w:sz w:val="24"/>
          <w:szCs w:val="24"/>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C72915"/>
    <w:rsid w:val="00D1782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0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2018-07-31T07:39:00Z</dcterms:modified>
</cp:coreProperties>
</file>