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附件</w:t>
      </w:r>
      <w:r>
        <w:rPr>
          <w:rFonts w:hint="eastAsia"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  <w:lang w:eastAsia="zh-CN"/>
        </w:rPr>
        <w:t>资格复审要求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年龄：核对身份证、户口本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户籍：户口本、户籍证明、身份证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专业：符合岗位信息表设置的专业条件、专业目录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工作经历：两年（含）以上工作经历，工作单位证明（要求单位盖章和当地卫生局盖章）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执业（助理）医师资质：达到资质的资格证书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学历：毕业证、报到证、非全日制网上认证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是否在编：外县考生需开具未在编在岗证明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FD1F"/>
    <w:multiLevelType w:val="singleLevel"/>
    <w:tmpl w:val="5848FD1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A1143"/>
    <w:rsid w:val="441A11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2016-12-08T06:21:00Z</dcterms:created>
  <dc:creator>Administrator</dc:creator>
  <cp:lastModifiedBy>Administrator</cp:lastModifiedBy>
  <cp:lastPrinted>2016-12-08T06:36:54Z</cp:lastPrinted>
  <dcterms:modified xsi:type="dcterms:W3CDTF">2016-12-08T06:44:40Z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