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972"/>
        <w:gridCol w:w="717"/>
        <w:gridCol w:w="1972"/>
        <w:gridCol w:w="538"/>
        <w:gridCol w:w="1255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9028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40"/>
                <w:szCs w:val="40"/>
              </w:rPr>
              <w:t>公开招用合同制教师岗位条件表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招用岗位</w:t>
            </w:r>
          </w:p>
        </w:tc>
        <w:tc>
          <w:tcPr>
            <w:tcW w:w="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招用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学历底限</w:t>
            </w:r>
          </w:p>
        </w:tc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2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8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农村初中语文教师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1、迁安户籍；全日制硕士研究生及以上学历人员、全日制普通类高等院校2017年应届本科及以上学历毕业生不限户籍。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2、具有教师资格证书。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农村初中数学教师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农村初中英语教师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农村初中物理教师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农村初中化学教师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农村初中历史教师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农村初中地理教师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农村初中生物教师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农村初中政治教师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全日制普通类本科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农村小学语文教师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农村小学数学教师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农村小学英语教师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农村小学音乐教师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农村小学美术教师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农村小学体育教师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农村幼儿教师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全日制普通类专科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418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3BFE"/>
    <w:rsid w:val="22133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_Style 3"/>
    <w:basedOn w:val="1"/>
    <w:link w:val="4"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宋体" w:cs="Times New Roman"/>
    </w:rPr>
  </w:style>
  <w:style w:type="character" w:styleId="6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2017-10-13T00:53:00Z</dcterms:created>
  <dc:creator>zhang</dc:creator>
  <cp:lastModifiedBy>zhang</cp:lastModifiedBy>
  <dcterms:modified xsi:type="dcterms:W3CDTF">2017-10-13T00:54:27Z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