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999"/>
        <w:gridCol w:w="966"/>
        <w:gridCol w:w="999"/>
        <w:gridCol w:w="966"/>
        <w:gridCol w:w="976"/>
        <w:gridCol w:w="1072"/>
        <w:gridCol w:w="496"/>
        <w:gridCol w:w="25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306" w:type="dxa"/>
            <w:gridSpan w:val="9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清丰县2017年高学历人才引进笔试成绩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24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2017年11月15日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主管    部门</w:t>
            </w:r>
          </w:p>
        </w:tc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引进人数</w:t>
            </w:r>
          </w:p>
        </w:tc>
        <w:tc>
          <w:tcPr>
            <w:tcW w:w="99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9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报考人数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座号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总分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清丰县农业畜牧局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农村产权交易服务中心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农业工程类、环境科学与工程类、植物生产类、自然保护与环境生态类、农业经济管理类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68.4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20170409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20170415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清丰县住房和城乡规划建设局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施工管理处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20170719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20170720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清丰县国土资源局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测绘管理办公室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测绘工程、遥感科学与技术、大地测量、测量工程、地图学、土地资源利用与信息技术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20171021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20171022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20171023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20171024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清丰县财政局 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清丰县政府投资项目建设评审服务中心（工作岗位在清丰县建设投资公司）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法学、经济法学、民商法学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20171125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20171126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20171127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20171128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清丰县统计局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普查中心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经济学类、统计学类、工商管理类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20171229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20171235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62.8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清丰县食品药品监督管理局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食品监督所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食品工程类、药学类、计算机类、法学类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20171639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64.8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20171646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63.8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中共清丰县委政法委员会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中共清丰县委维护稳定工作领导小组办公室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20171847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66.4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20171848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70.6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20171849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20171850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20171851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20171852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清丰县人民政府法制办公室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濮阳仲裁委员会清丰分会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9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96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20171953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72.4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20171954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缺考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20171955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57.6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20171956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20171957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67.4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20171958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20171959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20171960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44.2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20171961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59.8</w:t>
            </w:r>
          </w:p>
        </w:tc>
        <w:tc>
          <w:tcPr>
            <w:tcW w:w="2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57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9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66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20171962</w:t>
            </w:r>
          </w:p>
        </w:tc>
        <w:tc>
          <w:tcPr>
            <w:tcW w:w="107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49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both"/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  <w:r>
              <w:rPr>
                <w:rFonts w:hint="default" w:ascii="瀹嬩綋" w:hAnsi="瀹嬩綋" w:eastAsia="瀹嬩綋" w:cs="瀹嬩綋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  <w:t>62.6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256" w:type="dxa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瀹嬩綋">
    <w:altName w:val="Taken by Vultures Alternates D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4757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2017-11-15T09:33:08Z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