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2440"/>
        <w:gridCol w:w="900"/>
        <w:gridCol w:w="900"/>
        <w:gridCol w:w="1280"/>
        <w:gridCol w:w="33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选调单位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拟选调</w:t>
            </w: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编制</w:t>
            </w: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类型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岗位要求及条件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中共北安市委办公室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编制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有一定的文字综合能力或从事过相关工作者优先。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北安市政府办公室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编制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有一定的文字综合能力或从事过相关工作者优先。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北安市纪律检查委员会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编制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能够熟练运用法律、财务及审计业务知识，具有公检法及纪检检查工作经历者优先。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中共北安市委组织部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编制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有一定的文字综合和沟通协调能力者优先。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中共北安市委宣传部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编制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有一定的文字综合能力或从事过相关工作者优先。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政协北安市委员会办公室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编制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有一定的文字综合能力，熟悉计算机操作。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中共北安市委党校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事业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编制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无外观缺陷、口齿清晰，语言表达及文字综合能力较好。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</w:rPr>
        <w:t>注：参公编制人员只可报考党校。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F332D"/>
    <w:rsid w:val="3F5F33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2018-02-06T05:05:00Z</dcterms:created>
  <dc:creator>荼蘼</dc:creator>
  <cp:lastModifiedBy>荼蘼</cp:lastModifiedBy>
  <dcterms:modified xsi:type="dcterms:W3CDTF">2018-02-06T05:06:15Z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