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附1：</w:t>
      </w: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kern w:val="0"/>
          <w:sz w:val="38"/>
          <w:szCs w:val="38"/>
        </w:rPr>
      </w:pPr>
      <w:bookmarkStart w:id="0" w:name="RANGE!A2:N7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8"/>
          <w:szCs w:val="38"/>
        </w:rPr>
        <w:t>洪湖市选调市社会医疗保险管理局工作人员岗位一览表</w:t>
      </w:r>
    </w:p>
    <w:p/>
    <w:tbl>
      <w:tblPr>
        <w:tblStyle w:val="5"/>
        <w:tblW w:w="13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8"/>
        <w:gridCol w:w="1080"/>
        <w:gridCol w:w="885"/>
        <w:gridCol w:w="1065"/>
        <w:gridCol w:w="615"/>
        <w:gridCol w:w="2595"/>
        <w:gridCol w:w="1260"/>
        <w:gridCol w:w="201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部门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招聘单位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类别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人数</w:t>
            </w:r>
          </w:p>
        </w:tc>
        <w:tc>
          <w:tcPr>
            <w:tcW w:w="870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招</w:t>
            </w:r>
            <w:r>
              <w:rPr>
                <w:rFonts w:ascii="黑体" w:hAnsi="宋体" w:eastAsia="黑体" w:cs="宋体"/>
                <w:kern w:val="0"/>
                <w:sz w:val="22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聘</w:t>
            </w:r>
            <w:r>
              <w:rPr>
                <w:rFonts w:ascii="黑体" w:hAnsi="宋体" w:eastAsia="黑体" w:cs="宋体"/>
                <w:kern w:val="0"/>
                <w:sz w:val="22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条</w:t>
            </w:r>
            <w:r>
              <w:rPr>
                <w:rFonts w:ascii="黑体" w:hAnsi="宋体" w:eastAsia="黑体" w:cs="宋体"/>
                <w:kern w:val="0"/>
                <w:sz w:val="22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年龄要求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学历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执业资格技术资格技术等级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3" w:hRule="atLeast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洪湖市人力资源和社会保障局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洪湖市社会医疗保险管理局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医疗保险监督管理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日以后出生；女性，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日以后出生（临床医学类医生年龄可放宽到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具有相关专业的从业资格证书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医疗保险监督管理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日以后出生；女性，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财务管理、会计、计算机类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、法律、中国语言文学类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0" w:hRule="atLeast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医疗保险监督管理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日以后出生；女性，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1" w:name="_GoBack"/>
      <w:bookmarkEnd w:id="1"/>
    </w:p>
    <w:sectPr>
      <w:pgSz w:w="16781" w:h="11849" w:orient="landscape"/>
      <w:pgMar w:top="1701" w:right="1531" w:bottom="1701" w:left="1531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CE6834"/>
    <w:rsid w:val="2E862A43"/>
    <w:rsid w:val="3DF3580D"/>
    <w:rsid w:val="4E817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2017-08-31T10:16:40Z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