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51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  <w:t>聘岗位及计划 　 </w:t>
      </w:r>
    </w:p>
    <w:tbl>
      <w:tblPr>
        <w:tblW w:w="7049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7"/>
        <w:gridCol w:w="4177"/>
        <w:gridCol w:w="1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3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招聘岗位 </w:t>
            </w:r>
          </w:p>
        </w:tc>
        <w:tc>
          <w:tcPr>
            <w:tcW w:w="414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岗位要求 </w:t>
            </w:r>
          </w:p>
        </w:tc>
        <w:tc>
          <w:tcPr>
            <w:tcW w:w="125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计划人数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科员 </w:t>
            </w:r>
          </w:p>
        </w:tc>
        <w:tc>
          <w:tcPr>
            <w:tcW w:w="41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1、大专及以上学历；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2、专业不限（建筑工程及相关专业优先）； </w:t>
            </w:r>
          </w:p>
        </w:tc>
        <w:tc>
          <w:tcPr>
            <w:tcW w:w="12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  <w:t>1 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847A5"/>
    <w:rsid w:val="03F847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2017-06-26T05:50:00Z</dcterms:created>
  <dc:creator>ASUS</dc:creator>
  <cp:lastModifiedBy>ASUS</cp:lastModifiedBy>
  <dcterms:modified xsi:type="dcterms:W3CDTF">2017-06-26T05:50:13Z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