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8" w:beforeAutospacing="0" w:after="376" w:afterAutospacing="0" w:line="580" w:lineRule="atLeast"/>
        <w:ind w:left="300" w:right="300" w:firstLine="640"/>
        <w:jc w:val="left"/>
      </w:pPr>
      <w:r>
        <w:rPr>
          <w:rFonts w:ascii="楷体_gb2312" w:hAnsi="楷体_gb2312" w:eastAsia="楷体_gb2312" w:cs="楷体_gb2312"/>
          <w:b/>
          <w:color w:val="000000"/>
          <w:sz w:val="32"/>
          <w:szCs w:val="32"/>
          <w:shd w:val="clear" w:fill="FFFFFF"/>
        </w:rPr>
        <w:t>（一）面向全省行政、事业单位竞聘的10名有编在岗干部</w:t>
      </w:r>
    </w:p>
    <w:tbl>
      <w:tblPr>
        <w:tblW w:w="8520" w:type="dxa"/>
        <w:jc w:val="center"/>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81"/>
        <w:gridCol w:w="1587"/>
        <w:gridCol w:w="745"/>
        <w:gridCol w:w="4343"/>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30" w:hRule="atLeast"/>
          <w:jc w:val="center"/>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40" w:lineRule="atLeast"/>
              <w:ind w:left="0" w:right="0"/>
              <w:jc w:val="center"/>
            </w:pPr>
            <w:r>
              <w:rPr>
                <w:rFonts w:ascii="仿宋" w:hAnsi="仿宋" w:eastAsia="仿宋" w:cs="仿宋"/>
                <w:b/>
                <w:color w:val="000000"/>
                <w:sz w:val="28"/>
                <w:szCs w:val="28"/>
              </w:rPr>
              <w:t>部门</w:t>
            </w:r>
          </w:p>
          <w:p>
            <w:pPr>
              <w:pStyle w:val="2"/>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b/>
                <w:color w:val="000000"/>
                <w:sz w:val="28"/>
                <w:szCs w:val="28"/>
              </w:rPr>
              <w:t>名称</w:t>
            </w:r>
          </w:p>
        </w:tc>
        <w:tc>
          <w:tcPr>
            <w:tcW w:w="158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b/>
                <w:color w:val="000000"/>
                <w:sz w:val="28"/>
                <w:szCs w:val="28"/>
              </w:rPr>
              <w:t>职位名称</w:t>
            </w:r>
          </w:p>
        </w:tc>
        <w:tc>
          <w:tcPr>
            <w:tcW w:w="74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b/>
                <w:color w:val="000000"/>
                <w:sz w:val="28"/>
                <w:szCs w:val="28"/>
              </w:rPr>
              <w:t>人数</w:t>
            </w:r>
          </w:p>
        </w:tc>
        <w:tc>
          <w:tcPr>
            <w:tcW w:w="434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b/>
                <w:color w:val="000000"/>
                <w:sz w:val="28"/>
                <w:szCs w:val="28"/>
              </w:rPr>
              <w:t>资格条件</w:t>
            </w:r>
          </w:p>
        </w:tc>
        <w:tc>
          <w:tcPr>
            <w:tcW w:w="106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b/>
                <w:color w:val="000000"/>
                <w:sz w:val="28"/>
                <w:szCs w:val="28"/>
              </w:rPr>
              <w:t>工资（年）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81"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招商</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中心</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主任</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（部门正职）</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45周岁及以下，正科级及以上干部，正科任职时间满3年（含）；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2.大学本科及以上学历；</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 熟悉招商引资实务、国家经济政策和产业政策，有较强的事业心和责任感、组织协调能力和公关谈判能力。</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21.5万左右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81"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副主任</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（一级主办）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40周岁及以下，副科级及以上干部，副科任职时间满2年（含）；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3.熟悉招商引资工作。</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16.5万左右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781"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经济发展部</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总经济师</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（一级主办）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1.43周岁及以下，副科级及以上干部，副科任职时间满2年（含）；</w:t>
            </w:r>
          </w:p>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2.全日制大学本科及以上学历，专业要求经济与贸易类、财政金融类、会计与审计类；</w:t>
            </w:r>
          </w:p>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3.具有相应专业技术中级职称，并有3年（含）以上经济和商贸等相关工作经历。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16.5万左右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81"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环保</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规划</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建设部</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副部长</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（一级主办）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40周岁及以下，副科级及以上干部，副科任职时间满2年（含）；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2.全日制大学本科及以上学历，专业要求规划类、建筑类、环境工程类；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3.熟悉环保规划城市园区建设，具有3年（含）以上城市规划或相关工作经历。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16.5万左右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781"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总规划师</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（一级主办）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1.43周岁及以下，副科级及以上干部，副科任职时间满2年（含）；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2.全日制大学本科及以上学历，专业要求规划类、建筑类；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3.具有相应专业技术中级职称，并有3年（含）以上规划、环保或城建等相关工作经历。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16.5万左右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781"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市政园林城管处处长（二级主办）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1.40周岁及以下，副科级及以上干部，或35周岁以下科员满3年（含）；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2.全日制大学本科及以上学历，专业要求建筑类、规划类、林业类；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3.熟悉城市管理等相关工作。</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781"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财政局</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总会计师</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（一级主办）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1.43周岁及以下，副科级及以上干部，副科任职时间满2年（含）；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2.全日制大学本科及以上学历，专业要求经济与贸易类、财政金融类、会计与审计类；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3.具有相应专业技术中级职称，并有3年（含）以上会计、审计等相关工作经历。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16.5万左右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781"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安监局</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监察处处长</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（二级主办）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40周岁及以下，副科级及以上干部，或35周岁及以下科员满3年（含）；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2.全日制大学本科及以上学历，专业要求安全工程类、能源动力类、材料类、公安类；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3.熟悉安全生产监督检查工作，有企业安全生产管理经历。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781"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党政办</w:t>
            </w: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业务处处长</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（二级主办）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40周岁及以下，副科级及以上干部，或35周岁及以下科员满3年（含）；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2.全日制大学本科及以上学历，专业不限；</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3.具备较强的文字功底，及3年（含）以上党政机关、开发区或大型企业办公室相关工作经历。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13.5万左右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781"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5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三至六级主办</w:t>
            </w:r>
          </w:p>
        </w:tc>
        <w:tc>
          <w:tcPr>
            <w:tcW w:w="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3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1.32周岁及以下，科员满2年（含）；</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2.全日制大学本科及以上学历，专业不限；</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3.具备较强的文字功底，及2年（含）以上党政机关或开发区办公室相关工作经历。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bl>
    <w:p>
      <w:pPr>
        <w:pStyle w:val="2"/>
        <w:keepNext w:val="0"/>
        <w:keepLines w:val="0"/>
        <w:widowControl/>
        <w:suppressLineNumbers w:val="0"/>
        <w:spacing w:before="528" w:beforeAutospacing="0" w:after="376" w:afterAutospacing="0" w:line="580" w:lineRule="atLeast"/>
        <w:ind w:left="300" w:right="300"/>
        <w:jc w:val="left"/>
      </w:pPr>
      <w:r>
        <w:rPr>
          <w:rFonts w:ascii="黑体" w:hAnsi="宋体" w:eastAsia="黑体" w:cs="黑体"/>
          <w:color w:val="000000"/>
          <w:sz w:val="32"/>
          <w:szCs w:val="32"/>
          <w:shd w:val="clear" w:fill="FFFFFF"/>
        </w:rPr>
        <w:t>备注：</w:t>
      </w:r>
      <w:r>
        <w:rPr>
          <w:rFonts w:hint="eastAsia" w:ascii="仿宋" w:hAnsi="仿宋" w:eastAsia="仿宋" w:cs="仿宋"/>
          <w:color w:val="000000"/>
          <w:sz w:val="32"/>
          <w:szCs w:val="32"/>
          <w:shd w:val="clear" w:fill="FFFFFF"/>
        </w:rPr>
        <w:t>（1）事业单位干部条件比照执行；</w:t>
      </w:r>
    </w:p>
    <w:p>
      <w:pPr>
        <w:pStyle w:val="2"/>
        <w:keepNext w:val="0"/>
        <w:keepLines w:val="0"/>
        <w:widowControl/>
        <w:suppressLineNumbers w:val="0"/>
        <w:spacing w:before="528" w:beforeAutospacing="0" w:after="376" w:afterAutospacing="0" w:line="580" w:lineRule="atLeast"/>
        <w:ind w:left="300" w:right="300" w:firstLine="640"/>
        <w:jc w:val="left"/>
      </w:pPr>
      <w:r>
        <w:rPr>
          <w:rFonts w:hint="eastAsia" w:ascii="宋体" w:hAnsi="宋体" w:eastAsia="宋体" w:cs="宋体"/>
          <w:color w:val="000000"/>
          <w:sz w:val="21"/>
          <w:szCs w:val="21"/>
          <w:shd w:val="clear" w:fill="FFFFFF"/>
        </w:rPr>
        <w:t>      </w:t>
      </w:r>
      <w:r>
        <w:rPr>
          <w:rFonts w:hint="eastAsia" w:ascii="仿宋" w:hAnsi="仿宋" w:eastAsia="仿宋" w:cs="仿宋"/>
          <w:color w:val="000000"/>
          <w:sz w:val="32"/>
          <w:szCs w:val="32"/>
          <w:shd w:val="clear" w:fill="FFFFFF"/>
        </w:rPr>
        <w:t>（2）对全日制硕士研究生及以上学历并具有相应专业中级技术职称或副高以上职称的专业技术人员，年龄可放宽2周岁。</w:t>
      </w:r>
    </w:p>
    <w:p>
      <w:pPr>
        <w:pStyle w:val="2"/>
        <w:keepNext w:val="0"/>
        <w:keepLines w:val="0"/>
        <w:widowControl/>
        <w:suppressLineNumbers w:val="0"/>
        <w:spacing w:before="528" w:beforeAutospacing="0" w:after="376" w:afterAutospacing="0" w:line="580" w:lineRule="atLeast"/>
        <w:ind w:left="300" w:right="300" w:firstLine="640"/>
        <w:jc w:val="left"/>
      </w:pPr>
      <w:r>
        <w:rPr>
          <w:rFonts w:hint="eastAsia" w:ascii="宋体" w:hAnsi="宋体" w:eastAsia="宋体" w:cs="宋体"/>
          <w:color w:val="000000"/>
          <w:sz w:val="21"/>
          <w:szCs w:val="21"/>
          <w:shd w:val="clear" w:fill="FFFFFF"/>
        </w:rPr>
        <w:t> </w:t>
      </w:r>
    </w:p>
    <w:p>
      <w:pPr>
        <w:pStyle w:val="2"/>
        <w:keepNext w:val="0"/>
        <w:keepLines w:val="0"/>
        <w:widowControl/>
        <w:suppressLineNumbers w:val="0"/>
        <w:spacing w:before="528" w:beforeAutospacing="0" w:after="376" w:afterAutospacing="0" w:line="580" w:lineRule="atLeast"/>
        <w:ind w:left="300" w:right="300" w:firstLine="640"/>
        <w:jc w:val="left"/>
      </w:pPr>
      <w:r>
        <w:rPr>
          <w:rFonts w:hint="default" w:ascii="楷体_gb2312" w:hAnsi="楷体_gb2312" w:eastAsia="楷体_gb2312" w:cs="楷体_gb2312"/>
          <w:b/>
          <w:color w:val="000000"/>
          <w:sz w:val="32"/>
          <w:szCs w:val="32"/>
          <w:shd w:val="clear" w:fill="FFFFFF"/>
        </w:rPr>
        <w:t>（二）面向社会竞聘的16名工作人员</w:t>
      </w:r>
    </w:p>
    <w:tbl>
      <w:tblPr>
        <w:tblW w:w="8519"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94"/>
        <w:gridCol w:w="1716"/>
        <w:gridCol w:w="883"/>
        <w:gridCol w:w="406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30" w:hRule="atLeast"/>
          <w:jc w:val="center"/>
        </w:trPr>
        <w:tc>
          <w:tcPr>
            <w:tcW w:w="79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b/>
                <w:color w:val="000000"/>
                <w:sz w:val="28"/>
                <w:szCs w:val="28"/>
              </w:rPr>
              <w:t>部门</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b/>
                <w:color w:val="000000"/>
                <w:sz w:val="28"/>
                <w:szCs w:val="28"/>
              </w:rPr>
              <w:t>名称</w:t>
            </w:r>
          </w:p>
        </w:tc>
        <w:tc>
          <w:tcPr>
            <w:tcW w:w="171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b/>
                <w:color w:val="000000"/>
                <w:sz w:val="28"/>
                <w:szCs w:val="28"/>
              </w:rPr>
              <w:t>职位名称</w:t>
            </w:r>
          </w:p>
        </w:tc>
        <w:tc>
          <w:tcPr>
            <w:tcW w:w="88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b/>
                <w:color w:val="000000"/>
                <w:sz w:val="28"/>
                <w:szCs w:val="28"/>
              </w:rPr>
              <w:t>人数</w:t>
            </w:r>
          </w:p>
        </w:tc>
        <w:tc>
          <w:tcPr>
            <w:tcW w:w="406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20" w:lineRule="atLeast"/>
              <w:ind w:left="0" w:right="0"/>
              <w:jc w:val="center"/>
            </w:pPr>
            <w:r>
              <w:rPr>
                <w:rFonts w:hint="eastAsia" w:ascii="仿宋" w:hAnsi="仿宋" w:eastAsia="仿宋" w:cs="仿宋"/>
                <w:b/>
                <w:color w:val="000000"/>
                <w:sz w:val="28"/>
                <w:szCs w:val="28"/>
              </w:rPr>
              <w:t>资格条件</w:t>
            </w:r>
          </w:p>
        </w:tc>
        <w:tc>
          <w:tcPr>
            <w:tcW w:w="106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b/>
                <w:color w:val="000000"/>
                <w:sz w:val="28"/>
                <w:szCs w:val="28"/>
              </w:rPr>
              <w:t>工资（年）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9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招商</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中心</w:t>
            </w: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汽车汽配、食品医药、战略性新兴产业等招商人员（三至六级主办）</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6（每个产业2人，男女各1人）</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1. 32周岁及以下，全日制大学本科及以上学历，专业要求机械电子类、食品工程类、生物工程类、医学类、药学类、化工制药类、材料类、能源动力类、计算机类；</w:t>
            </w:r>
          </w:p>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2. 35周岁及以下，全日制硕士研究生及以上学历或具有相应专业中级技术职称的人员，专业要求机械电子类、食品工程类、生物工程类、医学类、药学类、化工制药类、材料类、能源动力类、计算机类；</w:t>
            </w:r>
          </w:p>
          <w:p>
            <w:pPr>
              <w:pStyle w:val="2"/>
              <w:keepNext w:val="0"/>
              <w:keepLines w:val="0"/>
              <w:widowControl/>
              <w:suppressLineNumbers w:val="0"/>
              <w:spacing w:before="0" w:beforeAutospacing="0" w:after="0" w:afterAutospacing="0" w:line="520" w:lineRule="atLeast"/>
              <w:ind w:left="0" w:right="0"/>
              <w:jc w:val="left"/>
            </w:pPr>
            <w:r>
              <w:rPr>
                <w:rFonts w:hint="eastAsia" w:ascii="仿宋" w:hAnsi="仿宋" w:eastAsia="仿宋" w:cs="仿宋"/>
                <w:color w:val="000000"/>
                <w:sz w:val="28"/>
                <w:szCs w:val="28"/>
              </w:rPr>
              <w:t>3.五官端正，有招商工作及相应经历或2年（含）以上企业工作经历。</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9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环保</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规划</w:t>
            </w:r>
          </w:p>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建设部</w:t>
            </w: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规划处三至六级主办</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32周岁及以下，全日制大学本科及以上学历，专业要求规划类、建筑类；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 35周岁及以下，全日制硕士研究生及以上学历或具有相应专业中级技术职称的人员，专业要求规划类、建筑类。</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794"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城管处三至六级主办</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1</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1.32周岁及以下；</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2.全日制大学本科及以上学历，专业要求中文类、法律类、建筑类、规划类。</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79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财政局</w:t>
            </w: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三至六级主办</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2</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 32周岁及以下，全日制大学本科及以上学历，专业要求财政金融类、会计与审计类；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 35周岁及以下，全日制硕士研究生及以上学历或具有相应专业中级技术职称的人员，专业要求财政金融类、会计与审计类；</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3.具有会计、审计、银行、保险、证券从业资格。</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0" w:hRule="atLeast"/>
          <w:jc w:val="center"/>
        </w:trPr>
        <w:tc>
          <w:tcPr>
            <w:tcW w:w="79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党政办</w:t>
            </w: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三至六级主办</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2（男女各1人）</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1.32周岁及以下；</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2.全日制大学本科及以上学历，专业不限；</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3.具备较强的文字功底。</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0" w:hRule="atLeast"/>
          <w:jc w:val="center"/>
        </w:trPr>
        <w:tc>
          <w:tcPr>
            <w:tcW w:w="794"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color w:val="000000"/>
                <w:sz w:val="18"/>
                <w:szCs w:val="18"/>
              </w:rPr>
            </w:pPr>
          </w:p>
        </w:tc>
        <w:tc>
          <w:tcPr>
            <w:tcW w:w="171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工作人员</w:t>
            </w:r>
          </w:p>
        </w:tc>
        <w:tc>
          <w:tcPr>
            <w:tcW w:w="8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center"/>
            </w:pPr>
            <w:r>
              <w:rPr>
                <w:rFonts w:hint="eastAsia" w:ascii="仿宋" w:hAnsi="仿宋" w:eastAsia="仿宋" w:cs="仿宋"/>
                <w:color w:val="000000"/>
                <w:sz w:val="28"/>
                <w:szCs w:val="28"/>
              </w:rPr>
              <w:t>4（男女各2人）</w:t>
            </w:r>
          </w:p>
        </w:tc>
        <w:tc>
          <w:tcPr>
            <w:tcW w:w="406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1.30周岁及以下；</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2.全日制大学专科及以上学历，专业不限；</w:t>
            </w:r>
          </w:p>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3.品貌端正，男身高不低于172cm，女身高不低于160cm。</w:t>
            </w:r>
          </w:p>
        </w:tc>
        <w:tc>
          <w:tcPr>
            <w:tcW w:w="10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580" w:lineRule="atLeast"/>
              <w:ind w:left="0" w:right="0"/>
              <w:jc w:val="left"/>
            </w:pPr>
            <w:r>
              <w:rPr>
                <w:rFonts w:hint="eastAsia" w:ascii="仿宋" w:hAnsi="仿宋" w:eastAsia="仿宋" w:cs="仿宋"/>
                <w:color w:val="000000"/>
                <w:sz w:val="28"/>
                <w:szCs w:val="28"/>
              </w:rPr>
              <w:t>平均10万左右</w:t>
            </w:r>
          </w:p>
        </w:tc>
      </w:tr>
    </w:tbl>
    <w:p>
      <w:pPr>
        <w:pStyle w:val="2"/>
        <w:keepNext w:val="0"/>
        <w:keepLines w:val="0"/>
        <w:widowControl/>
        <w:suppressLineNumbers w:val="0"/>
        <w:spacing w:before="528" w:beforeAutospacing="0" w:after="376" w:afterAutospacing="0" w:line="580" w:lineRule="atLeast"/>
        <w:ind w:left="300" w:right="300" w:firstLine="640"/>
        <w:jc w:val="left"/>
      </w:pPr>
      <w:r>
        <w:rPr>
          <w:rFonts w:hint="eastAsia" w:ascii="黑体" w:hAnsi="宋体" w:eastAsia="黑体" w:cs="黑体"/>
          <w:color w:val="000000"/>
          <w:sz w:val="32"/>
          <w:szCs w:val="32"/>
          <w:shd w:val="clear" w:fill="FFFFFF"/>
        </w:rPr>
        <w:t>备注：</w:t>
      </w:r>
      <w:r>
        <w:rPr>
          <w:rFonts w:hint="eastAsia" w:ascii="仿宋" w:hAnsi="仿宋" w:eastAsia="仿宋" w:cs="仿宋"/>
          <w:color w:val="000000"/>
          <w:sz w:val="32"/>
          <w:szCs w:val="32"/>
          <w:shd w:val="clear" w:fill="FFFFFF"/>
        </w:rPr>
        <w:t>招商中心、环保规划建设部、财政局岗位，对全日制硕士研究生及以上学历并具有相应专业中级技术职称或副高以上职称的专业技术人员，年龄可放宽2周岁。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楷体_gb2312">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045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Emphasis"/>
    <w:basedOn w:val="3"/>
    <w:qFormat/>
    <w:uiPriority w:val="0"/>
    <w:rPr>
      <w:color w:val="C4161C"/>
      <w:u w:val="none"/>
    </w:rPr>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000000"/>
      <w:u w:val="none"/>
    </w:rPr>
  </w:style>
  <w:style w:type="character" w:styleId="9">
    <w:name w:val="HTML Code"/>
    <w:basedOn w:val="3"/>
    <w:uiPriority w:val="0"/>
    <w:rPr>
      <w:rFonts w:hint="default" w:ascii="Courier New" w:hAnsi="Courier New" w:eastAsia="Courier New" w:cs="Courier New"/>
      <w:sz w:val="20"/>
      <w:bdr w:val="none" w:color="auto" w:sz="0" w:space="0"/>
    </w:rPr>
  </w:style>
  <w:style w:type="character" w:styleId="10">
    <w:name w:val="HTML Cite"/>
    <w:basedOn w:val="3"/>
    <w:uiPriority w:val="0"/>
  </w:style>
  <w:style w:type="character" w:styleId="11">
    <w:name w:val="HTML Keyboard"/>
    <w:basedOn w:val="3"/>
    <w:uiPriority w:val="0"/>
    <w:rPr>
      <w:rFonts w:ascii="Courier New" w:hAnsi="Courier New" w:eastAsia="Courier New" w:cs="Courier New"/>
      <w:sz w:val="20"/>
    </w:rPr>
  </w:style>
  <w:style w:type="character" w:styleId="12">
    <w:name w:val="HTML Sample"/>
    <w:basedOn w:val="3"/>
    <w:uiPriority w:val="0"/>
    <w:rPr>
      <w:rFonts w:hint="default" w:ascii="Courier New" w:hAnsi="Courier New" w:eastAsia="Courier New" w:cs="Courier New"/>
    </w:rPr>
  </w:style>
  <w:style w:type="character" w:customStyle="1" w:styleId="14">
    <w:name w:val="m06"/>
    <w:basedOn w:val="3"/>
    <w:uiPriority w:val="0"/>
  </w:style>
  <w:style w:type="character" w:customStyle="1" w:styleId="15">
    <w:name w:val="m04"/>
    <w:basedOn w:val="3"/>
    <w:uiPriority w:val="0"/>
  </w:style>
  <w:style w:type="character" w:customStyle="1" w:styleId="16">
    <w:name w:val="m02"/>
    <w:basedOn w:val="3"/>
    <w:uiPriority w:val="0"/>
  </w:style>
  <w:style w:type="character" w:customStyle="1" w:styleId="17">
    <w:name w:val="m05"/>
    <w:basedOn w:val="3"/>
    <w:uiPriority w:val="0"/>
  </w:style>
  <w:style w:type="character" w:customStyle="1" w:styleId="18">
    <w:name w:val="m051"/>
    <w:basedOn w:val="3"/>
    <w:uiPriority w:val="0"/>
  </w:style>
  <w:style w:type="character" w:customStyle="1" w:styleId="19">
    <w:name w:val="m03"/>
    <w:basedOn w:val="3"/>
    <w:uiPriority w:val="0"/>
  </w:style>
  <w:style w:type="character" w:customStyle="1" w:styleId="20">
    <w:name w:val="m031"/>
    <w:basedOn w:val="3"/>
    <w:uiPriority w:val="0"/>
  </w:style>
  <w:style w:type="character" w:customStyle="1" w:styleId="21">
    <w:name w:val="m01"/>
    <w:basedOn w:val="3"/>
    <w:uiPriority w:val="0"/>
  </w:style>
  <w:style w:type="character" w:customStyle="1" w:styleId="22">
    <w:name w:val="bds_nopic"/>
    <w:basedOn w:val="3"/>
    <w:uiPriority w:val="0"/>
    <w:rPr>
      <w:bdr w:val="none" w:color="auto" w:sz="0" w:space="0"/>
    </w:rPr>
  </w:style>
  <w:style w:type="character" w:customStyle="1" w:styleId="23">
    <w:name w:val="bds_nopic1"/>
    <w:basedOn w:val="3"/>
    <w:uiPriority w:val="0"/>
    <w:rPr>
      <w:bdr w:val="none" w:color="auto" w:sz="0" w:space="0"/>
    </w:rPr>
  </w:style>
  <w:style w:type="character" w:customStyle="1" w:styleId="24">
    <w:name w:val="bds_nopic2"/>
    <w:basedOn w:val="3"/>
    <w:uiPriority w:val="0"/>
    <w:rPr>
      <w:bdr w:val="none" w:color="auto" w:sz="0" w:space="0"/>
    </w:rPr>
  </w:style>
  <w:style w:type="character" w:customStyle="1" w:styleId="25">
    <w:name w:val="bds_more2"/>
    <w:basedOn w:val="3"/>
    <w:uiPriority w:val="0"/>
    <w:rPr>
      <w:bdr w:val="none" w:color="auto" w:sz="0" w:space="0"/>
    </w:rPr>
  </w:style>
  <w:style w:type="character" w:customStyle="1" w:styleId="26">
    <w:name w:val="bds_more3"/>
    <w:basedOn w:val="3"/>
    <w:uiPriority w:val="0"/>
    <w:rPr>
      <w:bdr w:val="none" w:color="auto" w:sz="0" w:space="0"/>
    </w:rPr>
  </w:style>
  <w:style w:type="character" w:customStyle="1" w:styleId="27">
    <w:name w:val="bds_more4"/>
    <w:basedOn w:val="3"/>
    <w:uiPriority w:val="0"/>
    <w:rPr>
      <w:bdr w:val="none" w:color="auto" w:sz="0" w:space="0"/>
    </w:rPr>
  </w:style>
  <w:style w:type="character" w:customStyle="1" w:styleId="28">
    <w:name w:val="cur1"/>
    <w:basedOn w:val="3"/>
    <w:uiPriority w:val="0"/>
  </w:style>
  <w:style w:type="character" w:customStyle="1" w:styleId="29">
    <w:name w:val="cur2"/>
    <w:basedOn w:val="3"/>
    <w:uiPriority w:val="0"/>
  </w:style>
  <w:style w:type="character" w:customStyle="1" w:styleId="30">
    <w:name w:val="on"/>
    <w:basedOn w:val="3"/>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2017-04-06T09:09:45Z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