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jc w:val="center"/>
      </w:pPr>
      <w:r>
        <w:rPr>
          <w:rStyle w:val="14"/>
          <w:rFonts w:hint="eastAsia" w:ascii="宋体" w:hAnsi="宋体" w:eastAsia="宋体" w:cs="宋体"/>
          <w:sz w:val="31"/>
          <w:szCs w:val="31"/>
        </w:rPr>
        <w:t>赣州市人民医院公开招聘部分工作人员岗位计划表</w:t>
      </w:r>
    </w:p>
    <w:p>
      <w:pPr>
        <w:pStyle w:val="12"/>
        <w:keepNext w:val="0"/>
        <w:keepLines w:val="0"/>
        <w:widowControl/>
        <w:suppressLineNumbers w:val="0"/>
      </w:pPr>
    </w:p>
    <w:tbl>
      <w:tblPr>
        <w:tblW w:w="1027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1323"/>
        <w:gridCol w:w="651"/>
        <w:gridCol w:w="1132"/>
        <w:gridCol w:w="1997"/>
        <w:gridCol w:w="3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20" w:hRule="atLeast"/>
          <w:tblCellSpacing w:w="15" w:type="dxa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用人科室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需求岗位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专业条件</w:t>
            </w:r>
          </w:p>
        </w:tc>
        <w:tc>
          <w:tcPr>
            <w:tcW w:w="3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年龄等其他条件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患者服务中心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导分诊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全日制中专及以上学历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护理、医学相关专业</w:t>
            </w:r>
          </w:p>
        </w:tc>
        <w:tc>
          <w:tcPr>
            <w:tcW w:w="3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中医科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导分诊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全日制中专及以上学历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护理、医学相关专业</w:t>
            </w:r>
          </w:p>
        </w:tc>
        <w:tc>
          <w:tcPr>
            <w:tcW w:w="3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磁共振室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导分诊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全日制中专及以上学历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护理、医学相关专业</w:t>
            </w:r>
          </w:p>
        </w:tc>
        <w:tc>
          <w:tcPr>
            <w:tcW w:w="3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门诊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导分诊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全日制中专及以上学历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护理、医学相关专业</w:t>
            </w:r>
          </w:p>
        </w:tc>
        <w:tc>
          <w:tcPr>
            <w:tcW w:w="3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随访中心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导分诊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全日制中专及以上学历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护理、医学相关专业</w:t>
            </w:r>
          </w:p>
        </w:tc>
        <w:tc>
          <w:tcPr>
            <w:tcW w:w="3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内镜中心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导分诊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全日制中专及以上学历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护理、医学相关专业</w:t>
            </w:r>
          </w:p>
        </w:tc>
        <w:tc>
          <w:tcPr>
            <w:tcW w:w="3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28周岁以下，身高≥156cm，形象气质佳，主要职责是：导诊、导医、咨询、随访等。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2018-03-19T06:42:29Z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