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218" w:type="dxa"/>
        <w:tblInd w:w="0" w:type="dxa"/>
        <w:shd w:val="clear" w:color="auto" w:fill="F8F8F8"/>
        <w:tblLayout w:type="fixed"/>
        <w:tblCellMar>
          <w:top w:w="0" w:type="dxa"/>
          <w:left w:w="0" w:type="dxa"/>
          <w:bottom w:w="0" w:type="dxa"/>
          <w:right w:w="0" w:type="dxa"/>
        </w:tblCellMar>
      </w:tblPr>
      <w:tblGrid>
        <w:gridCol w:w="1591"/>
        <w:gridCol w:w="1131"/>
        <w:gridCol w:w="935"/>
        <w:gridCol w:w="1919"/>
        <w:gridCol w:w="1427"/>
        <w:gridCol w:w="4215"/>
      </w:tblGrid>
      <w:tr>
        <w:tblPrEx>
          <w:shd w:val="clear" w:color="auto" w:fill="F8F8F8"/>
          <w:tblLayout w:type="fixed"/>
          <w:tblCellMar>
            <w:top w:w="0" w:type="dxa"/>
            <w:left w:w="0" w:type="dxa"/>
            <w:bottom w:w="0" w:type="dxa"/>
            <w:right w:w="0" w:type="dxa"/>
          </w:tblCellMar>
        </w:tblPrEx>
        <w:trPr>
          <w:trHeight w:val="510" w:hRule="atLeast"/>
        </w:trPr>
        <w:tc>
          <w:tcPr>
            <w:tcW w:w="1591" w:type="dxa"/>
            <w:vMerge w:val="restart"/>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olor w:val="707070"/>
                <w:sz w:val="24"/>
                <w:szCs w:val="24"/>
              </w:rPr>
              <w:t>科室</w:t>
            </w:r>
          </w:p>
        </w:tc>
        <w:tc>
          <w:tcPr>
            <w:tcW w:w="1131" w:type="dxa"/>
            <w:vMerge w:val="restart"/>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olor w:val="707070"/>
                <w:sz w:val="24"/>
                <w:szCs w:val="24"/>
              </w:rPr>
              <w:t>岗位名称</w:t>
            </w:r>
          </w:p>
        </w:tc>
        <w:tc>
          <w:tcPr>
            <w:tcW w:w="935" w:type="dxa"/>
            <w:vMerge w:val="restart"/>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olor w:val="707070"/>
                <w:sz w:val="24"/>
                <w:szCs w:val="24"/>
              </w:rPr>
              <w:t>招聘</w:t>
            </w:r>
            <w:r>
              <w:rPr>
                <w:rStyle w:val="4"/>
                <w:rFonts w:hint="eastAsia" w:ascii="宋体" w:hAnsi="宋体" w:eastAsia="宋体" w:cs="宋体"/>
                <w:color w:val="707070"/>
                <w:sz w:val="24"/>
                <w:szCs w:val="24"/>
              </w:rPr>
              <w:br w:type="textWrapping"/>
            </w:r>
            <w:r>
              <w:rPr>
                <w:rStyle w:val="4"/>
                <w:rFonts w:hint="eastAsia" w:ascii="宋体" w:hAnsi="宋体" w:eastAsia="宋体" w:cs="宋体"/>
                <w:color w:val="707070"/>
                <w:sz w:val="24"/>
                <w:szCs w:val="24"/>
              </w:rPr>
              <w:t> 岗位数</w:t>
            </w:r>
          </w:p>
        </w:tc>
        <w:tc>
          <w:tcPr>
            <w:tcW w:w="3346" w:type="dxa"/>
            <w:gridSpan w:val="2"/>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olor w:val="707070"/>
                <w:sz w:val="24"/>
                <w:szCs w:val="24"/>
              </w:rPr>
              <w:t>资格条件</w:t>
            </w:r>
          </w:p>
        </w:tc>
        <w:tc>
          <w:tcPr>
            <w:tcW w:w="4215" w:type="dxa"/>
            <w:vMerge w:val="restart"/>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olor w:val="707070"/>
                <w:sz w:val="24"/>
                <w:szCs w:val="24"/>
              </w:rPr>
              <w:t>其他资格条件</w:t>
            </w:r>
          </w:p>
        </w:tc>
      </w:tr>
      <w:tr>
        <w:tblPrEx>
          <w:tblLayout w:type="fixed"/>
          <w:tblCellMar>
            <w:top w:w="0" w:type="dxa"/>
            <w:left w:w="0" w:type="dxa"/>
            <w:bottom w:w="0" w:type="dxa"/>
            <w:right w:w="0" w:type="dxa"/>
          </w:tblCellMar>
        </w:tblPrEx>
        <w:trPr>
          <w:trHeight w:val="1170" w:hRule="atLeast"/>
        </w:trPr>
        <w:tc>
          <w:tcPr>
            <w:tcW w:w="1591" w:type="dxa"/>
            <w:vMerge w:val="continue"/>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rPr>
                <w:rFonts w:hint="eastAsia" w:ascii="微软雅黑" w:hAnsi="微软雅黑" w:eastAsia="微软雅黑" w:cs="微软雅黑"/>
                <w:color w:val="707070"/>
                <w:sz w:val="21"/>
                <w:szCs w:val="21"/>
              </w:rPr>
            </w:pPr>
          </w:p>
        </w:tc>
        <w:tc>
          <w:tcPr>
            <w:tcW w:w="1131" w:type="dxa"/>
            <w:vMerge w:val="continue"/>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rPr>
                <w:rFonts w:hint="eastAsia" w:ascii="微软雅黑" w:hAnsi="微软雅黑" w:eastAsia="微软雅黑" w:cs="微软雅黑"/>
                <w:color w:val="707070"/>
                <w:sz w:val="21"/>
                <w:szCs w:val="21"/>
              </w:rPr>
            </w:pPr>
          </w:p>
        </w:tc>
        <w:tc>
          <w:tcPr>
            <w:tcW w:w="935" w:type="dxa"/>
            <w:vMerge w:val="continue"/>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rPr>
                <w:rFonts w:hint="eastAsia" w:ascii="微软雅黑" w:hAnsi="微软雅黑" w:eastAsia="微软雅黑" w:cs="微软雅黑"/>
                <w:color w:val="707070"/>
                <w:sz w:val="21"/>
                <w:szCs w:val="21"/>
              </w:rPr>
            </w:pP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olor w:val="707070"/>
                <w:sz w:val="24"/>
                <w:szCs w:val="24"/>
              </w:rPr>
              <w:t>专业类别</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宋体" w:hAnsi="宋体" w:eastAsia="宋体" w:cs="宋体"/>
                <w:color w:val="707070"/>
                <w:sz w:val="24"/>
                <w:szCs w:val="24"/>
              </w:rPr>
              <w:t>学历</w:t>
            </w:r>
            <w:r>
              <w:rPr>
                <w:rStyle w:val="4"/>
                <w:rFonts w:hint="eastAsia" w:ascii="宋体" w:hAnsi="宋体" w:eastAsia="宋体" w:cs="宋体"/>
                <w:color w:val="707070"/>
                <w:sz w:val="24"/>
                <w:szCs w:val="24"/>
              </w:rPr>
              <w:br w:type="textWrapping"/>
            </w:r>
            <w:r>
              <w:rPr>
                <w:rStyle w:val="4"/>
                <w:rFonts w:hint="eastAsia" w:ascii="宋体" w:hAnsi="宋体" w:eastAsia="宋体" w:cs="宋体"/>
                <w:color w:val="707070"/>
                <w:sz w:val="24"/>
                <w:szCs w:val="24"/>
              </w:rPr>
              <w:t> （学位）</w:t>
            </w:r>
          </w:p>
          <w:p>
            <w:pPr>
              <w:pStyle w:val="2"/>
              <w:keepNext w:val="0"/>
              <w:keepLines w:val="0"/>
              <w:widowControl/>
              <w:suppressLineNumbers w:val="0"/>
              <w:jc w:val="center"/>
              <w:textAlignment w:val="center"/>
            </w:pPr>
            <w:r>
              <w:rPr>
                <w:rStyle w:val="4"/>
                <w:rFonts w:hint="eastAsia" w:ascii="宋体" w:hAnsi="宋体" w:eastAsia="宋体" w:cs="宋体"/>
                <w:color w:val="707070"/>
                <w:sz w:val="24"/>
                <w:szCs w:val="24"/>
              </w:rPr>
              <w:t>和职称</w:t>
            </w:r>
          </w:p>
        </w:tc>
        <w:tc>
          <w:tcPr>
            <w:tcW w:w="4215" w:type="dxa"/>
            <w:vMerge w:val="continue"/>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rPr>
                <w:rFonts w:hint="eastAsia" w:ascii="微软雅黑" w:hAnsi="微软雅黑" w:eastAsia="微软雅黑" w:cs="微软雅黑"/>
                <w:color w:val="707070"/>
                <w:sz w:val="21"/>
                <w:szCs w:val="21"/>
              </w:rPr>
            </w:pPr>
          </w:p>
        </w:tc>
      </w:tr>
      <w:tr>
        <w:tblPrEx>
          <w:tblLayout w:type="fixed"/>
          <w:tblCellMar>
            <w:top w:w="0" w:type="dxa"/>
            <w:left w:w="0" w:type="dxa"/>
            <w:bottom w:w="0" w:type="dxa"/>
            <w:right w:w="0" w:type="dxa"/>
          </w:tblCellMar>
        </w:tblPrEx>
        <w:trPr>
          <w:trHeight w:val="750" w:hRule="atLeast"/>
        </w:trPr>
        <w:tc>
          <w:tcPr>
            <w:tcW w:w="1591" w:type="dxa"/>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心内科</w:t>
            </w: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心电图诊断医师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3</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临床医学</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全日制大专及以上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取得医师资格证，优先录取。</w:t>
            </w:r>
          </w:p>
        </w:tc>
      </w:tr>
      <w:tr>
        <w:tblPrEx>
          <w:tblLayout w:type="fixed"/>
          <w:tblCellMar>
            <w:top w:w="0" w:type="dxa"/>
            <w:left w:w="0" w:type="dxa"/>
            <w:bottom w:w="0" w:type="dxa"/>
            <w:right w:w="0" w:type="dxa"/>
          </w:tblCellMar>
        </w:tblPrEx>
        <w:trPr>
          <w:trHeight w:val="1681" w:hRule="atLeast"/>
        </w:trPr>
        <w:tc>
          <w:tcPr>
            <w:tcW w:w="1591" w:type="dxa"/>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血透室</w:t>
            </w: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血液净化维护员</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1</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机械电子工程、</w:t>
            </w:r>
            <w:r>
              <w:rPr>
                <w:rFonts w:hint="eastAsia" w:ascii="宋体" w:hAnsi="宋体" w:eastAsia="宋体" w:cs="宋体"/>
                <w:color w:val="707070"/>
                <w:sz w:val="24"/>
                <w:szCs w:val="24"/>
              </w:rPr>
              <w:br w:type="textWrapping"/>
            </w:r>
            <w:r>
              <w:rPr>
                <w:rFonts w:hint="eastAsia" w:ascii="宋体" w:hAnsi="宋体" w:eastAsia="宋体" w:cs="宋体"/>
                <w:color w:val="707070"/>
                <w:sz w:val="24"/>
                <w:szCs w:val="24"/>
              </w:rPr>
              <w:t> 生物医学工程类</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大专及以上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具备机械和电子学知识以及一定的医疗知识，熟悉血液透析机和水处理设备的性能结构、工作原理和维修技术。</w:t>
            </w:r>
          </w:p>
        </w:tc>
      </w:tr>
      <w:tr>
        <w:tblPrEx>
          <w:tblLayout w:type="fixed"/>
          <w:tblCellMar>
            <w:top w:w="0" w:type="dxa"/>
            <w:left w:w="0" w:type="dxa"/>
            <w:bottom w:w="0" w:type="dxa"/>
            <w:right w:w="0" w:type="dxa"/>
          </w:tblCellMar>
        </w:tblPrEx>
        <w:trPr>
          <w:trHeight w:val="1035" w:hRule="atLeast"/>
        </w:trPr>
        <w:tc>
          <w:tcPr>
            <w:tcW w:w="1591" w:type="dxa"/>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消化内科</w:t>
            </w: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医师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1</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临床医学、消化专业</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本科及以上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具有医师资格证；取得消化内科专业中级（含）以上职称，优先录取。</w:t>
            </w:r>
          </w:p>
        </w:tc>
      </w:tr>
      <w:tr>
        <w:tblPrEx>
          <w:tblLayout w:type="fixed"/>
          <w:tblCellMar>
            <w:top w:w="0" w:type="dxa"/>
            <w:left w:w="0" w:type="dxa"/>
            <w:bottom w:w="0" w:type="dxa"/>
            <w:right w:w="0" w:type="dxa"/>
          </w:tblCellMar>
        </w:tblPrEx>
        <w:trPr>
          <w:trHeight w:val="750" w:hRule="atLeast"/>
        </w:trPr>
        <w:tc>
          <w:tcPr>
            <w:tcW w:w="1591" w:type="dxa"/>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神经内科</w:t>
            </w: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医师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1</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临床医学</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全日制本科及以上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取得医师资格证，优先录取。</w:t>
            </w:r>
          </w:p>
        </w:tc>
      </w:tr>
      <w:tr>
        <w:tblPrEx>
          <w:tblLayout w:type="fixed"/>
          <w:tblCellMar>
            <w:top w:w="0" w:type="dxa"/>
            <w:left w:w="0" w:type="dxa"/>
            <w:bottom w:w="0" w:type="dxa"/>
            <w:right w:w="0" w:type="dxa"/>
          </w:tblCellMar>
        </w:tblPrEx>
        <w:trPr>
          <w:trHeight w:val="1681" w:hRule="atLeast"/>
        </w:trPr>
        <w:tc>
          <w:tcPr>
            <w:tcW w:w="1591" w:type="dxa"/>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肿瘤内科</w:t>
            </w: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放疗医师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1</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临床医学、肿瘤学</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全日制本科及以上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取得肿瘤内科专业中级（含）以上职称，具有5年以上肿瘤专业工作经历，能独立开展3D-CRT、IMRT放射治疗设备技术。</w:t>
            </w:r>
          </w:p>
        </w:tc>
      </w:tr>
      <w:tr>
        <w:tblPrEx>
          <w:tblLayout w:type="fixed"/>
          <w:tblCellMar>
            <w:top w:w="0" w:type="dxa"/>
            <w:left w:w="0" w:type="dxa"/>
            <w:bottom w:w="0" w:type="dxa"/>
            <w:right w:w="0" w:type="dxa"/>
          </w:tblCellMar>
        </w:tblPrEx>
        <w:trPr>
          <w:trHeight w:val="1095" w:hRule="atLeast"/>
        </w:trPr>
        <w:tc>
          <w:tcPr>
            <w:tcW w:w="1591" w:type="dxa"/>
            <w:tcBorders>
              <w:top w:val="nil"/>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老年内科</w:t>
            </w: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医师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2</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全科专业</w:t>
            </w:r>
            <w:r>
              <w:rPr>
                <w:rFonts w:hint="eastAsia" w:ascii="宋体" w:hAnsi="宋体" w:eastAsia="宋体" w:cs="宋体"/>
                <w:color w:val="707070"/>
                <w:sz w:val="24"/>
                <w:szCs w:val="24"/>
              </w:rPr>
              <w:br w:type="textWrapping"/>
            </w:r>
            <w:r>
              <w:rPr>
                <w:rFonts w:hint="eastAsia" w:ascii="宋体" w:hAnsi="宋体" w:eastAsia="宋体" w:cs="宋体"/>
                <w:color w:val="707070"/>
                <w:sz w:val="24"/>
                <w:szCs w:val="24"/>
              </w:rPr>
              <w:t> 、老年医学、消化内科专业</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全日制硕士研究生</w:t>
            </w:r>
            <w:r>
              <w:rPr>
                <w:rFonts w:hint="eastAsia" w:ascii="宋体" w:hAnsi="宋体" w:eastAsia="宋体" w:cs="宋体"/>
                <w:color w:val="707070"/>
                <w:sz w:val="24"/>
                <w:szCs w:val="24"/>
              </w:rPr>
              <w:br w:type="textWrapping"/>
            </w:r>
            <w:r>
              <w:rPr>
                <w:rFonts w:hint="eastAsia" w:ascii="宋体" w:hAnsi="宋体" w:eastAsia="宋体" w:cs="宋体"/>
                <w:color w:val="707070"/>
                <w:sz w:val="24"/>
                <w:szCs w:val="24"/>
              </w:rPr>
              <w:t> 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取得医师资格证，优先录取。</w:t>
            </w:r>
          </w:p>
        </w:tc>
      </w:tr>
      <w:tr>
        <w:tblPrEx>
          <w:tblLayout w:type="fixed"/>
          <w:tblCellMar>
            <w:top w:w="0" w:type="dxa"/>
            <w:left w:w="0" w:type="dxa"/>
            <w:bottom w:w="0" w:type="dxa"/>
            <w:right w:w="0" w:type="dxa"/>
          </w:tblCellMar>
        </w:tblPrEx>
        <w:trPr>
          <w:trHeight w:val="1050" w:hRule="atLeast"/>
        </w:trPr>
        <w:tc>
          <w:tcPr>
            <w:tcW w:w="1591" w:type="dxa"/>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急诊科</w:t>
            </w: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医师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1</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内科学、急诊医学</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全日制硕士研究生</w:t>
            </w:r>
            <w:r>
              <w:rPr>
                <w:rFonts w:hint="eastAsia" w:ascii="宋体" w:hAnsi="宋体" w:eastAsia="宋体" w:cs="宋体"/>
                <w:color w:val="707070"/>
                <w:sz w:val="24"/>
                <w:szCs w:val="24"/>
              </w:rPr>
              <w:br w:type="textWrapping"/>
            </w:r>
            <w:r>
              <w:rPr>
                <w:rFonts w:hint="eastAsia" w:ascii="宋体" w:hAnsi="宋体" w:eastAsia="宋体" w:cs="宋体"/>
                <w:color w:val="707070"/>
                <w:sz w:val="24"/>
                <w:szCs w:val="24"/>
              </w:rPr>
              <w:t> 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取得医师资格证；若已注册，执业范围须为内科专业。</w:t>
            </w:r>
          </w:p>
        </w:tc>
      </w:tr>
      <w:tr>
        <w:tblPrEx>
          <w:tblLayout w:type="fixed"/>
          <w:tblCellMar>
            <w:top w:w="0" w:type="dxa"/>
            <w:left w:w="0" w:type="dxa"/>
            <w:bottom w:w="0" w:type="dxa"/>
            <w:right w:w="0" w:type="dxa"/>
          </w:tblCellMar>
        </w:tblPrEx>
        <w:trPr>
          <w:trHeight w:val="1035" w:hRule="atLeast"/>
        </w:trPr>
        <w:tc>
          <w:tcPr>
            <w:tcW w:w="1591" w:type="dxa"/>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儿科</w:t>
            </w: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医师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2</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临床医学、儿科学</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全日制本科及以上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取得医师资格证，优先录取；若已注册，执业范围须为儿科专业。</w:t>
            </w:r>
          </w:p>
        </w:tc>
      </w:tr>
      <w:tr>
        <w:tblPrEx>
          <w:tblLayout w:type="fixed"/>
          <w:tblCellMar>
            <w:top w:w="0" w:type="dxa"/>
            <w:left w:w="0" w:type="dxa"/>
            <w:bottom w:w="0" w:type="dxa"/>
            <w:right w:w="0" w:type="dxa"/>
          </w:tblCellMar>
        </w:tblPrEx>
        <w:trPr>
          <w:trHeight w:val="1035" w:hRule="atLeast"/>
        </w:trPr>
        <w:tc>
          <w:tcPr>
            <w:tcW w:w="1591" w:type="dxa"/>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新生儿科</w:t>
            </w: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医师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2</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临床医学、儿科学</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全日制本科及以上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取得医师资格证，优先录取；若已注册，执业范围须为儿科专业。</w:t>
            </w:r>
          </w:p>
        </w:tc>
      </w:tr>
      <w:tr>
        <w:tblPrEx>
          <w:tblLayout w:type="fixed"/>
          <w:tblCellMar>
            <w:top w:w="0" w:type="dxa"/>
            <w:left w:w="0" w:type="dxa"/>
            <w:bottom w:w="0" w:type="dxa"/>
            <w:right w:w="0" w:type="dxa"/>
          </w:tblCellMar>
        </w:tblPrEx>
        <w:trPr>
          <w:trHeight w:val="750" w:hRule="atLeast"/>
        </w:trPr>
        <w:tc>
          <w:tcPr>
            <w:tcW w:w="1591" w:type="dxa"/>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体检科</w:t>
            </w: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B超医师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1</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医学影像学</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全日制本科及以上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取得医师资格证，优先录取。</w:t>
            </w:r>
          </w:p>
        </w:tc>
      </w:tr>
      <w:tr>
        <w:tblPrEx>
          <w:tblLayout w:type="fixed"/>
          <w:tblCellMar>
            <w:top w:w="0" w:type="dxa"/>
            <w:left w:w="0" w:type="dxa"/>
            <w:bottom w:w="0" w:type="dxa"/>
            <w:right w:w="0" w:type="dxa"/>
          </w:tblCellMar>
        </w:tblPrEx>
        <w:trPr>
          <w:trHeight w:val="1050" w:hRule="atLeast"/>
        </w:trPr>
        <w:tc>
          <w:tcPr>
            <w:tcW w:w="1591" w:type="dxa"/>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眼科</w:t>
            </w: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医师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1</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临床医学（眼与视光学方向）、眼科学</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全日制本科及以上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 xml:space="preserve">取得医师资格证，优先录取。   </w:t>
            </w:r>
          </w:p>
        </w:tc>
      </w:tr>
      <w:tr>
        <w:tblPrEx>
          <w:tblLayout w:type="fixed"/>
          <w:tblCellMar>
            <w:top w:w="0" w:type="dxa"/>
            <w:left w:w="0" w:type="dxa"/>
            <w:bottom w:w="0" w:type="dxa"/>
            <w:right w:w="0" w:type="dxa"/>
          </w:tblCellMar>
        </w:tblPrEx>
        <w:trPr>
          <w:trHeight w:val="1351" w:hRule="atLeast"/>
        </w:trPr>
        <w:tc>
          <w:tcPr>
            <w:tcW w:w="1591" w:type="dxa"/>
            <w:vMerge w:val="restart"/>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影像科</w:t>
            </w: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介入医师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2</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影像医学与核医学（介入治疗及相关方向）</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全日制硕士研究生</w:t>
            </w:r>
            <w:r>
              <w:rPr>
                <w:rFonts w:hint="eastAsia" w:ascii="宋体" w:hAnsi="宋体" w:eastAsia="宋体" w:cs="宋体"/>
                <w:color w:val="707070"/>
                <w:sz w:val="24"/>
                <w:szCs w:val="24"/>
              </w:rPr>
              <w:br w:type="textWrapping"/>
            </w:r>
            <w:r>
              <w:rPr>
                <w:rFonts w:hint="eastAsia" w:ascii="宋体" w:hAnsi="宋体" w:eastAsia="宋体" w:cs="宋体"/>
                <w:color w:val="707070"/>
                <w:sz w:val="24"/>
                <w:szCs w:val="24"/>
              </w:rPr>
              <w:t> 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取得医师资格证；有规培证或参加了规培并能如期取得规培证，优先考虑。</w:t>
            </w:r>
          </w:p>
        </w:tc>
      </w:tr>
      <w:tr>
        <w:tblPrEx>
          <w:tblLayout w:type="fixed"/>
          <w:tblCellMar>
            <w:top w:w="0" w:type="dxa"/>
            <w:left w:w="0" w:type="dxa"/>
            <w:bottom w:w="0" w:type="dxa"/>
            <w:right w:w="0" w:type="dxa"/>
          </w:tblCellMar>
        </w:tblPrEx>
        <w:trPr>
          <w:trHeight w:val="780" w:hRule="atLeast"/>
        </w:trPr>
        <w:tc>
          <w:tcPr>
            <w:tcW w:w="1591" w:type="dxa"/>
            <w:vMerge w:val="continue"/>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rPr>
                <w:rFonts w:hint="eastAsia" w:ascii="微软雅黑" w:hAnsi="微软雅黑" w:eastAsia="微软雅黑" w:cs="微软雅黑"/>
                <w:color w:val="707070"/>
                <w:sz w:val="21"/>
                <w:szCs w:val="21"/>
              </w:rPr>
            </w:pP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医师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2</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临床医学、</w:t>
            </w:r>
            <w:r>
              <w:rPr>
                <w:rFonts w:hint="eastAsia" w:ascii="宋体" w:hAnsi="宋体" w:eastAsia="宋体" w:cs="宋体"/>
                <w:color w:val="707070"/>
                <w:sz w:val="24"/>
                <w:szCs w:val="24"/>
              </w:rPr>
              <w:br w:type="textWrapping"/>
            </w:r>
            <w:r>
              <w:rPr>
                <w:rFonts w:hint="eastAsia" w:ascii="宋体" w:hAnsi="宋体" w:eastAsia="宋体" w:cs="宋体"/>
                <w:color w:val="707070"/>
                <w:sz w:val="24"/>
                <w:szCs w:val="24"/>
              </w:rPr>
              <w:t> 医学影像学</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本科及以上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 xml:space="preserve">取得医师资格证，优先录取。 </w:t>
            </w:r>
          </w:p>
        </w:tc>
      </w:tr>
      <w:tr>
        <w:tblPrEx>
          <w:tblLayout w:type="fixed"/>
          <w:tblCellMar>
            <w:top w:w="0" w:type="dxa"/>
            <w:left w:w="0" w:type="dxa"/>
            <w:bottom w:w="0" w:type="dxa"/>
            <w:right w:w="0" w:type="dxa"/>
          </w:tblCellMar>
        </w:tblPrEx>
        <w:trPr>
          <w:trHeight w:val="2341" w:hRule="atLeast"/>
        </w:trPr>
        <w:tc>
          <w:tcPr>
            <w:tcW w:w="1591" w:type="dxa"/>
            <w:vMerge w:val="restart"/>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社</w:t>
            </w:r>
            <w:bookmarkStart w:id="0" w:name="_GoBack"/>
            <w:bookmarkEnd w:id="0"/>
            <w:r>
              <w:rPr>
                <w:rFonts w:hint="eastAsia" w:ascii="宋体" w:hAnsi="宋体" w:eastAsia="宋体" w:cs="宋体"/>
                <w:color w:val="707070"/>
                <w:sz w:val="24"/>
                <w:szCs w:val="24"/>
              </w:rPr>
              <w:t>区医疗</w:t>
            </w: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全科医师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4</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临床医学、全科专业</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本科及以上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1、取得医师资格证者，优先录取。</w:t>
            </w:r>
            <w:r>
              <w:rPr>
                <w:rFonts w:hint="eastAsia" w:ascii="宋体" w:hAnsi="宋体" w:eastAsia="宋体" w:cs="宋体"/>
                <w:color w:val="707070"/>
                <w:sz w:val="24"/>
                <w:szCs w:val="24"/>
              </w:rPr>
              <w:br w:type="textWrapping"/>
            </w:r>
            <w:r>
              <w:rPr>
                <w:rFonts w:hint="eastAsia" w:ascii="宋体" w:hAnsi="宋体" w:eastAsia="宋体" w:cs="宋体"/>
                <w:color w:val="707070"/>
                <w:sz w:val="24"/>
                <w:szCs w:val="24"/>
              </w:rPr>
              <w:t> 2、取得医师资格证并已注册人员执业范围须为全科医学专业或临床医学专业经过全科规培且执业范围为全科医学专业者，年龄可放宽。</w:t>
            </w:r>
          </w:p>
        </w:tc>
      </w:tr>
      <w:tr>
        <w:tblPrEx>
          <w:tblLayout w:type="fixed"/>
          <w:tblCellMar>
            <w:top w:w="0" w:type="dxa"/>
            <w:left w:w="0" w:type="dxa"/>
            <w:bottom w:w="0" w:type="dxa"/>
            <w:right w:w="0" w:type="dxa"/>
          </w:tblCellMar>
        </w:tblPrEx>
        <w:trPr>
          <w:trHeight w:val="1050" w:hRule="atLeast"/>
        </w:trPr>
        <w:tc>
          <w:tcPr>
            <w:tcW w:w="1591" w:type="dxa"/>
            <w:vMerge w:val="continue"/>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rPr>
                <w:rFonts w:hint="eastAsia" w:ascii="微软雅黑" w:hAnsi="微软雅黑" w:eastAsia="微软雅黑" w:cs="微软雅黑"/>
                <w:color w:val="707070"/>
                <w:sz w:val="21"/>
                <w:szCs w:val="21"/>
              </w:rPr>
            </w:pP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B超医师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2</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医学影像学、</w:t>
            </w:r>
            <w:r>
              <w:rPr>
                <w:rFonts w:hint="eastAsia" w:ascii="宋体" w:hAnsi="宋体" w:eastAsia="宋体" w:cs="宋体"/>
                <w:color w:val="707070"/>
                <w:sz w:val="24"/>
                <w:szCs w:val="24"/>
              </w:rPr>
              <w:br w:type="textWrapping"/>
            </w:r>
            <w:r>
              <w:rPr>
                <w:rFonts w:hint="eastAsia" w:ascii="宋体" w:hAnsi="宋体" w:eastAsia="宋体" w:cs="宋体"/>
                <w:color w:val="707070"/>
                <w:sz w:val="24"/>
                <w:szCs w:val="24"/>
              </w:rPr>
              <w:t> 影像医学与核医学</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全日制大专及以上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1、取得助理医师资格证。2、本科学历取得医师资格证优先录取。</w:t>
            </w:r>
          </w:p>
        </w:tc>
      </w:tr>
      <w:tr>
        <w:tblPrEx>
          <w:tblLayout w:type="fixed"/>
          <w:tblCellMar>
            <w:top w:w="0" w:type="dxa"/>
            <w:left w:w="0" w:type="dxa"/>
            <w:bottom w:w="0" w:type="dxa"/>
            <w:right w:w="0" w:type="dxa"/>
          </w:tblCellMar>
        </w:tblPrEx>
        <w:trPr>
          <w:trHeight w:val="780" w:hRule="atLeast"/>
        </w:trPr>
        <w:tc>
          <w:tcPr>
            <w:tcW w:w="1591" w:type="dxa"/>
            <w:vMerge w:val="continue"/>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rPr>
                <w:rFonts w:hint="eastAsia" w:ascii="微软雅黑" w:hAnsi="微软雅黑" w:eastAsia="微软雅黑" w:cs="微软雅黑"/>
                <w:color w:val="707070"/>
                <w:sz w:val="21"/>
                <w:szCs w:val="21"/>
              </w:rPr>
            </w:pP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口腔医师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1</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口腔医学、</w:t>
            </w:r>
            <w:r>
              <w:rPr>
                <w:rFonts w:hint="eastAsia" w:ascii="宋体" w:hAnsi="宋体" w:eastAsia="宋体" w:cs="宋体"/>
                <w:color w:val="707070"/>
                <w:sz w:val="24"/>
                <w:szCs w:val="24"/>
              </w:rPr>
              <w:br w:type="textWrapping"/>
            </w:r>
            <w:r>
              <w:rPr>
                <w:rFonts w:hint="eastAsia" w:ascii="宋体" w:hAnsi="宋体" w:eastAsia="宋体" w:cs="宋体"/>
                <w:color w:val="707070"/>
                <w:sz w:val="24"/>
                <w:szCs w:val="24"/>
              </w:rPr>
              <w:t> 口腔临床医学</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全日制本科及以上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 xml:space="preserve">取得医师资格证，优先录取。   </w:t>
            </w:r>
          </w:p>
        </w:tc>
      </w:tr>
      <w:tr>
        <w:tblPrEx>
          <w:tblLayout w:type="fixed"/>
          <w:tblCellMar>
            <w:top w:w="0" w:type="dxa"/>
            <w:left w:w="0" w:type="dxa"/>
            <w:bottom w:w="0" w:type="dxa"/>
            <w:right w:w="0" w:type="dxa"/>
          </w:tblCellMar>
        </w:tblPrEx>
        <w:trPr>
          <w:trHeight w:val="1035" w:hRule="atLeast"/>
        </w:trPr>
        <w:tc>
          <w:tcPr>
            <w:tcW w:w="1591" w:type="dxa"/>
            <w:vMerge w:val="continue"/>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rPr>
                <w:rFonts w:hint="eastAsia" w:ascii="微软雅黑" w:hAnsi="微软雅黑" w:eastAsia="微软雅黑" w:cs="微软雅黑"/>
                <w:color w:val="707070"/>
                <w:sz w:val="21"/>
                <w:szCs w:val="21"/>
              </w:rPr>
            </w:pP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康复技师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3</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康复治疗学</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全日制本科及以上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1</w:t>
            </w:r>
            <w:r>
              <w:rPr>
                <w:rFonts w:hint="eastAsia" w:ascii="宋体" w:hAnsi="宋体" w:eastAsia="宋体" w:cs="宋体"/>
                <w:color w:val="707070"/>
                <w:sz w:val="21"/>
                <w:szCs w:val="21"/>
              </w:rPr>
              <w:t>、具有康复治疗师资格证。2、有儿童康复治疗经验者优先录取。</w:t>
            </w:r>
          </w:p>
        </w:tc>
      </w:tr>
      <w:tr>
        <w:tblPrEx>
          <w:tblLayout w:type="fixed"/>
          <w:tblCellMar>
            <w:top w:w="0" w:type="dxa"/>
            <w:left w:w="0" w:type="dxa"/>
            <w:bottom w:w="0" w:type="dxa"/>
            <w:right w:w="0" w:type="dxa"/>
          </w:tblCellMar>
        </w:tblPrEx>
        <w:trPr>
          <w:trHeight w:val="735" w:hRule="atLeast"/>
        </w:trPr>
        <w:tc>
          <w:tcPr>
            <w:tcW w:w="1591" w:type="dxa"/>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皮肤科</w:t>
            </w: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医师</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2</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临床医学、中医外科学、皮肤病与性病学</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全日制本科及以上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4"/>
                <w:szCs w:val="24"/>
              </w:rPr>
              <w:t>取得医师资格证，优先录取。</w:t>
            </w:r>
          </w:p>
        </w:tc>
      </w:tr>
      <w:tr>
        <w:tblPrEx>
          <w:tblLayout w:type="fixed"/>
          <w:tblCellMar>
            <w:top w:w="0" w:type="dxa"/>
            <w:left w:w="0" w:type="dxa"/>
            <w:bottom w:w="0" w:type="dxa"/>
            <w:right w:w="0" w:type="dxa"/>
          </w:tblCellMar>
        </w:tblPrEx>
        <w:trPr>
          <w:trHeight w:val="1035" w:hRule="atLeast"/>
        </w:trPr>
        <w:tc>
          <w:tcPr>
            <w:tcW w:w="1591" w:type="dxa"/>
            <w:tcBorders>
              <w:top w:val="nil"/>
              <w:left w:val="single" w:color="000000" w:sz="6" w:space="0"/>
              <w:bottom w:val="nil"/>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医务科</w:t>
            </w:r>
          </w:p>
        </w:tc>
        <w:tc>
          <w:tcPr>
            <w:tcW w:w="1131"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信息员</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4</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医疗相关专业</w:t>
            </w:r>
            <w:r>
              <w:rPr>
                <w:rFonts w:hint="eastAsia" w:ascii="宋体" w:hAnsi="宋体" w:eastAsia="宋体" w:cs="宋体"/>
                <w:color w:val="707070"/>
                <w:sz w:val="24"/>
                <w:szCs w:val="24"/>
              </w:rPr>
              <w:br w:type="textWrapping"/>
            </w:r>
            <w:r>
              <w:rPr>
                <w:rFonts w:hint="eastAsia" w:ascii="宋体" w:hAnsi="宋体" w:eastAsia="宋体" w:cs="宋体"/>
                <w:color w:val="707070"/>
                <w:sz w:val="24"/>
                <w:szCs w:val="24"/>
              </w:rPr>
              <w:t> （护理专业除外）</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全日制大专及以上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rPr>
                <w:rFonts w:hint="eastAsia" w:ascii="微软雅黑" w:hAnsi="微软雅黑" w:eastAsia="微软雅黑" w:cs="微软雅黑"/>
                <w:color w:val="707070"/>
                <w:sz w:val="21"/>
                <w:szCs w:val="21"/>
              </w:rPr>
            </w:pPr>
          </w:p>
        </w:tc>
      </w:tr>
      <w:tr>
        <w:tblPrEx>
          <w:tblLayout w:type="fixed"/>
          <w:tblCellMar>
            <w:top w:w="0" w:type="dxa"/>
            <w:left w:w="0" w:type="dxa"/>
            <w:bottom w:w="0" w:type="dxa"/>
            <w:right w:w="0" w:type="dxa"/>
          </w:tblCellMar>
        </w:tblPrEx>
        <w:trPr>
          <w:trHeight w:val="1035" w:hRule="atLeast"/>
        </w:trPr>
        <w:tc>
          <w:tcPr>
            <w:tcW w:w="2722" w:type="dxa"/>
            <w:gridSpan w:val="2"/>
            <w:tcBorders>
              <w:top w:val="single" w:color="000000" w:sz="6" w:space="0"/>
              <w:left w:val="single" w:color="000000" w:sz="6" w:space="0"/>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护理人员</w:t>
            </w:r>
          </w:p>
        </w:tc>
        <w:tc>
          <w:tcPr>
            <w:tcW w:w="93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4"/>
                <w:szCs w:val="24"/>
              </w:rPr>
              <w:t>32</w:t>
            </w:r>
          </w:p>
        </w:tc>
        <w:tc>
          <w:tcPr>
            <w:tcW w:w="1919"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2"/>
                <w:szCs w:val="22"/>
              </w:rPr>
              <w:t>护理学、涉外护理、助产</w:t>
            </w:r>
          </w:p>
        </w:tc>
        <w:tc>
          <w:tcPr>
            <w:tcW w:w="1427"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宋体" w:hAnsi="宋体" w:eastAsia="宋体" w:cs="宋体"/>
                <w:color w:val="707070"/>
                <w:sz w:val="22"/>
                <w:szCs w:val="22"/>
              </w:rPr>
              <w:t>大专及以上</w:t>
            </w:r>
          </w:p>
        </w:tc>
        <w:tc>
          <w:tcPr>
            <w:tcW w:w="4215" w:type="dxa"/>
            <w:tcBorders>
              <w:top w:val="nil"/>
              <w:left w:val="nil"/>
              <w:bottom w:val="single" w:color="000000" w:sz="6" w:space="0"/>
              <w:right w:val="single" w:color="000000" w:sz="6" w:space="0"/>
            </w:tcBorders>
            <w:shd w:val="clear" w:color="auto" w:fill="F8F8F8"/>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宋体" w:hAnsi="宋体" w:eastAsia="宋体" w:cs="宋体"/>
                <w:color w:val="707070"/>
                <w:sz w:val="22"/>
                <w:szCs w:val="22"/>
              </w:rPr>
              <w:t>取得护士资格证并已注册或未注册者需提供成绩合格证明。</w:t>
            </w:r>
          </w:p>
        </w:tc>
      </w:tr>
    </w:tbl>
    <w:p/>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46A6A"/>
    <w:rsid w:val="73F46A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707070"/>
      <w:u w:val="none"/>
    </w:rPr>
  </w:style>
  <w:style w:type="character" w:styleId="6">
    <w:name w:val="Emphasis"/>
    <w:basedOn w:val="3"/>
    <w:qFormat/>
    <w:uiPriority w:val="0"/>
  </w:style>
  <w:style w:type="character" w:styleId="7">
    <w:name w:val="Hyperlink"/>
    <w:basedOn w:val="3"/>
    <w:uiPriority w:val="0"/>
    <w:rPr>
      <w:color w:val="70707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2018-09-13T06:00:00Z</dcterms:created>
  <dc:creator>Thinkpad</dc:creator>
  <cp:lastModifiedBy>Thinkpad</cp:lastModifiedBy>
  <dcterms:modified xsi:type="dcterms:W3CDTF">2018-09-13T06:00:46Z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