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1332"/>
        <w:gridCol w:w="1174"/>
        <w:gridCol w:w="1072"/>
        <w:gridCol w:w="24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50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ascii="仿宋" w:hAnsi="仿宋" w:eastAsia="仿宋" w:cs="仿宋"/>
                <w:color w:val="333333"/>
                <w:sz w:val="21"/>
                <w:szCs w:val="21"/>
              </w:rPr>
              <w:t>招聘单位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2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tblHeader/>
          <w:jc w:val="center"/>
        </w:trPr>
        <w:tc>
          <w:tcPr>
            <w:tcW w:w="2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景德镇市妇幼保健院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总会计师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50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财经类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50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详见本公告的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253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“三、岗位条件”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6" w:beforeAutospacing="0" w:after="0" w:afterAutospacing="0" w:line="18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A3EFA"/>
    <w:rsid w:val="2FEA3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FF"/>
      <w:u w:val="none"/>
    </w:rPr>
  </w:style>
  <w:style w:type="character" w:styleId="11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3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2018-11-28T04:09:00Z</dcterms:created>
  <dc:creator>天空</dc:creator>
  <cp:lastModifiedBy>天空</cp:lastModifiedBy>
  <dcterms:modified xsi:type="dcterms:W3CDTF">2018-11-28T04:09:50Z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