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附件2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w:t>
      </w:r>
      <w:bookmarkStart w:id="0" w:name="_GoBack"/>
      <w:r>
        <w:rPr>
          <w:rFonts w:hint="eastAsia" w:ascii="微软雅黑" w:hAnsi="微软雅黑" w:eastAsia="微软雅黑" w:cs="微软雅黑"/>
          <w:b w:val="0"/>
          <w:i w:val="0"/>
          <w:caps w:val="0"/>
          <w:color w:val="615446"/>
          <w:spacing w:val="0"/>
          <w:sz w:val="21"/>
          <w:szCs w:val="21"/>
          <w:u w:val="none"/>
        </w:rPr>
        <w:t>专业(学科)指导目录</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根据分局用人专业需求，参照国家现行专业设置情况，公布《专业(学科)指导目录》，请应聘人员予以参考。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二、新闻类：新闻学、广播电视新闻学、传播学、新闻传播学、汉语语言文学与文化传播、新闻学与大众传播、文学与传媒、财经新闻、新闻与信息传播、编辑出版学、新闻采编与制作、广告学、应用传媒专业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四、审计类：税务与审计、审计学、财税与审计、会计与审计、金融审计、电算会计与审计、财会审计、会计审计与税务代理、基建审计、审计专业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六、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在海外院校学习信息电子、信息与计算技术、计算机信息工学专业的海外留学归国人员可以报考计算机与信息科学类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七、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在海外院校学习贸易学、企业经营、流通经营、金融与经济学、国际管理专业的海外留学归国人员可以报考经济金融类职位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八、公安类：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18个本科专业，治安管理、交通管理、信息网络安全监察、特警、警察管理、公共安全管理、警察指挥与战术、刑事科学技术、警犬技术、刑事侦查、国内安全保卫、经济犯罪侦查、禁毒、侦查、刑事技术等15个专科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九、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在海外院校学习国际秘书学专业的海外留学归国人员可以报考文秘类职位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十、通信工程类：无线电通信、通信工程、综合电信、移动通信、通信技术、微波通信、数据通信、无线通信、计算机通信、图像传输与处理、多路通信、电子信息工程、电子通信工程、光纤通信、网络与通信工程、通信与网络技术、信息与通信工程、通信与信息系统、信息及通信网络应用技术、电子通信、电子通信技术、通信与电子系统、电子信息与通信技术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十一、艺术类：导演、戏剧影视文学、戏剧影视美术设计、摄影、录音艺术、动画、播音与主持艺术、广播电视编导、影视教育、影视学、广播影视编导专业</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615446"/>
          <w:spacing w:val="0"/>
          <w:sz w:val="21"/>
          <w:szCs w:val="21"/>
          <w:u w:val="none"/>
        </w:rPr>
        <w:t>　　备注：本目录由烟台市公安局高新分局负责解释。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63779"/>
    <w:rsid w:val="4B5C1CD8"/>
    <w:rsid w:val="579637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2017-11-11T01:35:00Z</dcterms:created>
  <dc:creator>lbetter</dc:creator>
  <cp:lastModifiedBy>lbetter</cp:lastModifiedBy>
  <dcterms:modified xsi:type="dcterms:W3CDTF">2017-11-11T01:37:02Z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