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151"/>
        <w:gridCol w:w="972"/>
        <w:gridCol w:w="3434"/>
        <w:gridCol w:w="2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24242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1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24242"/>
                <w:spacing w:val="0"/>
                <w:sz w:val="21"/>
                <w:szCs w:val="21"/>
              </w:rPr>
              <w:t>招聘岗位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24242"/>
                <w:spacing w:val="0"/>
                <w:sz w:val="21"/>
                <w:szCs w:val="21"/>
              </w:rPr>
              <w:t>招聘数量</w:t>
            </w:r>
          </w:p>
        </w:tc>
        <w:tc>
          <w:tcPr>
            <w:tcW w:w="34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24242"/>
                <w:spacing w:val="0"/>
                <w:sz w:val="21"/>
                <w:szCs w:val="21"/>
              </w:rPr>
              <w:t>招聘专业及要求</w:t>
            </w:r>
          </w:p>
        </w:tc>
        <w:tc>
          <w:tcPr>
            <w:tcW w:w="20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24242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24242"/>
                <w:spacing w:val="0"/>
                <w:sz w:val="21"/>
                <w:szCs w:val="21"/>
              </w:rPr>
              <w:t>博士、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24242"/>
                <w:spacing w:val="0"/>
                <w:sz w:val="21"/>
                <w:szCs w:val="21"/>
              </w:rPr>
              <w:t>硕士</w:t>
            </w:r>
          </w:p>
        </w:tc>
        <w:tc>
          <w:tcPr>
            <w:tcW w:w="34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20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急诊科医师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 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 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内科学各相关临床专业（急诊医学和重症医学专业优先）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内分泌科医师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525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1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内分泌专业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消化内科医师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525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2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消化内科专业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重症医学科医师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1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内科学相关专业（重症医学、急诊医学、呼吸内科、神经内科专业优先）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肿瘤内科医师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1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放疗专业1人或化疗专业1人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6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儿科医师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6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小儿内科学专业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 第一学历可放宽至全日制大学专科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7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眼科医师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2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眼科学专业、视光学专业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8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耳鼻喉科医师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 1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耳鼻喉科专业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9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骨科医师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2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骨外科专业（脊柱外科、关节外科、创伤关节、运动医学及显微修复专业方向）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10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神经外科医师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1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神经外科学专业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11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妇产科医师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3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妇产科学专业、生殖医学专业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第一学历可放宽至全日制大学专科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12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麻醉科医师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1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麻醉学专业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精神卫生医师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1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精神病与精神卫生学专业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14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中医科医师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 1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中医内科学专业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15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康复科医师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 1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推拿专业，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16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影像科医师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2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影像医学与核医学、放射医学专业及未注册的临床专业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 第一学历可放宽至全日制大学专科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17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超声科医师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4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影像医学与核医学：超声诊断学专业方向及未注册的临床专业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第一学历可放宽至全日制大学专科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18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病理科医师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1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病理学与病理生理学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 第一学历可放宽至全日制大学专科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19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中心实验室技师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1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临床检验诊断学，医学生物化学及分子生物学、遗传学血液病学专业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第一学历为大学本科医学检验学，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20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营养科医师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1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营养学专业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</w:rPr>
              <w:t>21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护士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  <w:t>14</w:t>
            </w:r>
          </w:p>
        </w:tc>
        <w:tc>
          <w:tcPr>
            <w:tcW w:w="3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2424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24242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64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90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24242"/>
                <w:spacing w:val="0"/>
                <w:sz w:val="24"/>
                <w:szCs w:val="24"/>
              </w:rPr>
              <w:t>博士、硕士48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65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24242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31"/>
          <w:szCs w:val="31"/>
          <w:u w:val="single"/>
          <w:shd w:val="clear" w:fill="FFFFFF"/>
        </w:rPr>
        <w:t>临床医学博士可随时与本院联系进行洽谈。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F1EB0"/>
    <w:rsid w:val="2D4F1E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2017-07-04T06:08:00Z</dcterms:created>
  <dc:creator>Administrator</dc:creator>
  <cp:lastModifiedBy>Administrator</cp:lastModifiedBy>
  <dcterms:modified xsi:type="dcterms:W3CDTF">2017-07-04T06:10:20Z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