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rPr>
          <w:sz w:val="21"/>
          <w:szCs w:val="21"/>
        </w:rPr>
        <w:t>乐陵市人民医院2018年招聘计划表</w:t>
      </w:r>
    </w:p>
    <w:tbl>
      <w:tblPr>
        <w:tblpPr w:leftFromText="180" w:rightFromText="180" w:vertAnchor="text" w:horzAnchor="page" w:tblpX="1166" w:tblpY="665"/>
        <w:tblOverlap w:val="never"/>
        <w:tblW w:w="10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2219"/>
        <w:gridCol w:w="1109"/>
        <w:gridCol w:w="5171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2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11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51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招聘要求</w:t>
            </w:r>
          </w:p>
        </w:tc>
        <w:tc>
          <w:tcPr>
            <w:tcW w:w="1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内分泌科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内分泌专业，研究生学历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2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肿瘤血液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血液病方向，硕士研究生1名，本科2名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放疗专业，硕士研究生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肾内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肾内专业，研究生1名，本科1名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感染性疾病科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小儿外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烧伤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血管介入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神经外科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神经肿瘤方向1名，神经创伤方向1名，脑血管病方向1名，本科及以上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胸外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2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视光专业，专科及以上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本科备案制/专科合同制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耳鼻喉或临床专业，本科及以上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口腔修复专业1名，儿童牙科1名，本科及以上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临床或急诊专业，硕士研究生1名，本科2人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皮肤科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高压氧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CT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影像诊断专业或临床专业。有执业证优先，本科及以上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核磁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医学影像及临床医学专业，本科及以上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彩超室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影像或临床专业，本科及以上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心电图室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检验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医学检验专业，硕士研究生1名，本科4名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病理科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临床或病理诊断专业，本科及以上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静配中心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临床护理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护理专业，本科30人，专科30人。必须取得护士执业证书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本科备案制/专科合同制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精神科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精神卫生专业，取得执业资格，本科及以上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医务科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医院管理专业，本科及以上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外联办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公共卫生或健康管理专业，本科及以上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医患办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医学法律专业，本科及以上，取得法律执业资格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设备科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应用电子专业2人，生物医学工程3人,本科及以上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2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金融、财务、会计学及相关专业，本科及以上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金融、财务、会计学及相关专业，大专及以上，收费员岗位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本科备案制/专科合同制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网络管理中心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电子信息工程专业，本科及以上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23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2018-07-24T10:07:48Z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