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73737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37373"/>
          <w:spacing w:val="0"/>
          <w:sz w:val="21"/>
          <w:szCs w:val="21"/>
          <w:bdr w:val="none" w:color="auto" w:sz="0" w:space="0"/>
          <w:shd w:val="clear" w:fill="FFFFFF"/>
        </w:rPr>
        <w:t>一、    招聘博士研究生岗位及要求</w:t>
      </w:r>
    </w:p>
    <w:tbl>
      <w:tblPr>
        <w:tblW w:w="7644" w:type="dxa"/>
        <w:jc w:val="center"/>
        <w:tblInd w:w="3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572"/>
        <w:gridCol w:w="720"/>
        <w:gridCol w:w="48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岗位/科室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招聘专业及要求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要求呼吸内科学专业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要求消化内科学专业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要求内分泌学专业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要求血液学专业，有一定科研能力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要求风湿免疫专业，有一定科研能力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要求心血管内科专业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要求肾脏病、血液净化专业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要求神经内科专业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要求肝胆外科专业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乳甲外科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要求乳腺甲状腺外科专业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要求胃肠外科学专业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要求血管外科学专业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要求骨外科学专业-脊柱方向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骨关节外科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要求骨外科学专业-骨关节方向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手足外科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要求骨外科学专业-手足外科方向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创伤外科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要求骨外科学专业-创伤方向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要求泌尿外科学专业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小儿外科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要求小儿外科学专业，有一定科研能力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要求神经外科学专业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要求心脏外科学专业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要求胸外科学专业，有较强科研能力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烧伤整形外科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要求烧伤整形外科学专业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肛肠外科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要求肛肠外科学专业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要求妇产科学—妇科专业方向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要求妇产科学—产科学专业方向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要求儿科学专业，中医儿科专业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要求眼科学专业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要求耳鼻咽喉头颈外科学专业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口腔科病房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要求口腔颌面外科学专业生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口腔科门诊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要求口腔医学口内、修复、正畸、种植专业方向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要求急诊医学、重症医学、心血管内科、神经内科、呼吸内科学专业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要求重症医学、呼吸内科、心血管内科学专业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要求全科医学、呼吸内科、神经内科、心血管内科学专业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要求康复医学专业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要求中医内科学专业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要求皮肤与性病学专业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要求肿瘤内科学专业，有一定科研能力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要求肿瘤学放疗专业方向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感染疾病科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要求感染性疾病学、呼吸内科学、消化内科学专业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生殖医学科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要求生殖医学、组织胚胎学、泌尿外科学专业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要求麻醉学专业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要求麻醉学、疼痛学专业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要求临床营养医学专业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要求临床医学、医学检验学专业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要求临床检验学专业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血液实验室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要求血液学、干细胞学相关专业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要求病理学相关专业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要求影像医学与核医学专业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介入放射科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要求影像医学与核医学专业、介入放射学相关专业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要求超声诊断医学专业方向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要求要求影像医学与核医学专业，PET/CT影像诊断方向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心电图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要求心血管内科学、心电图专业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要求临床药学专业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要求护理学专业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要求软件开发与维护、数据库管理专业方向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职能部门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要求社会医学与卫生事业管理、流行病与卫生统计学专业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科研岗位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要求医学相关专业，具有较强科研能力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1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5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3096B"/>
    <w:rsid w:val="679309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2018-11-16T07:42:00Z</dcterms:created>
  <dc:creator>愿风裁尘</dc:creator>
  <cp:lastModifiedBy>愿风裁尘</cp:lastModifiedBy>
  <dcterms:modified xsi:type="dcterms:W3CDTF">2018-11-16T07:42:24Z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