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280"/>
        </w:tabs>
        <w:spacing w:line="520" w:lineRule="exact"/>
        <w:jc w:val="both"/>
        <w:rPr>
          <w:rFonts w:hint="eastAsia" w:ascii="黑体" w:hAnsi="黑体" w:eastAsia="黑体" w:cs="宋体"/>
          <w:szCs w:val="32"/>
        </w:rPr>
      </w:pPr>
      <w:r>
        <w:rPr>
          <w:rFonts w:hint="eastAsia" w:ascii="黑体" w:hAnsi="黑体" w:eastAsia="黑体" w:cs="宋体"/>
          <w:szCs w:val="32"/>
        </w:rPr>
        <w:t>附件1：</w:t>
      </w:r>
    </w:p>
    <w:p>
      <w:pPr>
        <w:widowControl w:val="0"/>
        <w:spacing w:line="520" w:lineRule="exact"/>
        <w:jc w:val="center"/>
        <w:rPr>
          <w:rFonts w:hint="eastAsia" w:ascii="黑体" w:hAnsi="黑体" w:eastAsia="黑体" w:cs="宋体"/>
          <w:sz w:val="36"/>
          <w:szCs w:val="36"/>
        </w:rPr>
      </w:pPr>
      <w:r>
        <w:rPr>
          <w:rFonts w:hint="eastAsia" w:ascii="黑体" w:hAnsi="黑体" w:eastAsia="黑体" w:cs="宋体"/>
          <w:sz w:val="36"/>
          <w:szCs w:val="36"/>
        </w:rPr>
        <w:t>西昌学院2017年5月公开招聘工作人员岗位和条件要求一览表</w:t>
      </w:r>
    </w:p>
    <w:tbl>
      <w:tblPr>
        <w:tblStyle w:val="5"/>
        <w:tblW w:w="13534" w:type="dxa"/>
        <w:jc w:val="center"/>
        <w:tblInd w:w="95" w:type="dxa"/>
        <w:tblLayout w:type="fixed"/>
        <w:tblCellMar>
          <w:top w:w="0" w:type="dxa"/>
          <w:left w:w="108" w:type="dxa"/>
          <w:bottom w:w="0" w:type="dxa"/>
          <w:right w:w="108" w:type="dxa"/>
        </w:tblCellMar>
      </w:tblPr>
      <w:tblGrid>
        <w:gridCol w:w="991"/>
        <w:gridCol w:w="709"/>
        <w:gridCol w:w="896"/>
        <w:gridCol w:w="1013"/>
        <w:gridCol w:w="709"/>
        <w:gridCol w:w="932"/>
        <w:gridCol w:w="1194"/>
        <w:gridCol w:w="1134"/>
        <w:gridCol w:w="1650"/>
        <w:gridCol w:w="1242"/>
        <w:gridCol w:w="3064"/>
      </w:tblGrid>
      <w:tr>
        <w:tblPrEx>
          <w:tblLayout w:type="fixed"/>
          <w:tblCellMar>
            <w:top w:w="0" w:type="dxa"/>
            <w:left w:w="108" w:type="dxa"/>
            <w:bottom w:w="0" w:type="dxa"/>
            <w:right w:w="108" w:type="dxa"/>
          </w:tblCellMar>
        </w:tblPrEx>
        <w:trPr>
          <w:trHeight w:val="285" w:hRule="atLeast"/>
          <w:jc w:val="center"/>
        </w:trPr>
        <w:tc>
          <w:tcPr>
            <w:tcW w:w="991" w:type="dxa"/>
            <w:vMerge w:val="restart"/>
            <w:tcBorders>
              <w:top w:val="single" w:color="auto" w:sz="4" w:space="0"/>
              <w:left w:val="single" w:color="auto" w:sz="4" w:space="0"/>
              <w:bottom w:val="single" w:color="000000" w:sz="4" w:space="0"/>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招聘单位</w:t>
            </w:r>
          </w:p>
        </w:tc>
        <w:tc>
          <w:tcPr>
            <w:tcW w:w="1605" w:type="dxa"/>
            <w:gridSpan w:val="2"/>
            <w:tcBorders>
              <w:top w:val="single" w:color="auto" w:sz="4" w:space="0"/>
              <w:left w:val="single" w:color="auto" w:sz="4" w:space="0"/>
              <w:bottom w:val="single" w:color="auto" w:sz="4" w:space="0"/>
              <w:right w:val="single" w:color="auto" w:sz="4" w:space="0"/>
            </w:tcBorders>
            <w:vAlign w:val="top"/>
          </w:tcPr>
          <w:p>
            <w:pPr>
              <w:widowControl w:val="0"/>
              <w:jc w:val="center"/>
              <w:rPr>
                <w:rFonts w:hint="eastAsia" w:ascii="仿宋_GB2312" w:hAnsi="宋体" w:cs="宋体"/>
                <w:sz w:val="24"/>
                <w:szCs w:val="24"/>
              </w:rPr>
            </w:pPr>
            <w:r>
              <w:rPr>
                <w:rFonts w:hint="eastAsia" w:ascii="仿宋_GB2312" w:hAnsi="宋体" w:cs="宋体"/>
                <w:sz w:val="24"/>
                <w:szCs w:val="24"/>
              </w:rPr>
              <w:t>招聘岗位</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岗位编码</w:t>
            </w:r>
          </w:p>
        </w:tc>
        <w:tc>
          <w:tcPr>
            <w:tcW w:w="709"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jc w:val="center"/>
              <w:rPr>
                <w:rFonts w:hint="eastAsia" w:ascii="仿宋_GB2312" w:hAnsi="宋体" w:cs="宋体"/>
                <w:sz w:val="24"/>
                <w:szCs w:val="24"/>
              </w:rPr>
            </w:pPr>
            <w:r>
              <w:rPr>
                <w:rFonts w:hint="eastAsia" w:ascii="仿宋_GB2312" w:hAnsi="宋体" w:cs="宋体"/>
                <w:sz w:val="24"/>
                <w:szCs w:val="24"/>
              </w:rPr>
              <w:t>招聘人数</w:t>
            </w:r>
          </w:p>
        </w:tc>
        <w:tc>
          <w:tcPr>
            <w:tcW w:w="932" w:type="dxa"/>
            <w:vMerge w:val="restart"/>
            <w:tcBorders>
              <w:top w:val="single" w:color="auto" w:sz="4" w:space="0"/>
              <w:left w:val="nil"/>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招聘对象</w:t>
            </w:r>
          </w:p>
          <w:p>
            <w:pPr>
              <w:widowControl w:val="0"/>
              <w:jc w:val="center"/>
              <w:rPr>
                <w:rFonts w:hint="eastAsia" w:ascii="仿宋_GB2312" w:hAnsi="宋体" w:cs="宋体"/>
                <w:sz w:val="24"/>
                <w:szCs w:val="24"/>
              </w:rPr>
            </w:pPr>
            <w:r>
              <w:rPr>
                <w:rFonts w:hint="eastAsia" w:ascii="仿宋_GB2312" w:hAnsi="宋体" w:cs="宋体"/>
                <w:sz w:val="24"/>
                <w:szCs w:val="24"/>
              </w:rPr>
              <w:t>范围</w:t>
            </w:r>
          </w:p>
        </w:tc>
        <w:tc>
          <w:tcPr>
            <w:tcW w:w="5220" w:type="dxa"/>
            <w:gridSpan w:val="4"/>
            <w:tcBorders>
              <w:top w:val="single" w:color="auto" w:sz="4" w:space="0"/>
              <w:left w:val="single" w:color="auto" w:sz="4" w:space="0"/>
              <w:bottom w:val="single" w:color="auto" w:sz="4" w:space="0"/>
              <w:right w:val="single" w:color="000000" w:sz="4" w:space="0"/>
            </w:tcBorders>
            <w:vAlign w:val="center"/>
          </w:tcPr>
          <w:p>
            <w:pPr>
              <w:widowControl w:val="0"/>
              <w:ind w:left="291"/>
              <w:jc w:val="center"/>
              <w:rPr>
                <w:rFonts w:hint="eastAsia" w:ascii="仿宋_GB2312" w:hAnsi="宋体" w:cs="宋体"/>
                <w:sz w:val="24"/>
                <w:szCs w:val="24"/>
              </w:rPr>
            </w:pPr>
            <w:r>
              <w:rPr>
                <w:rFonts w:hint="eastAsia" w:ascii="仿宋_GB2312" w:hAnsi="宋体" w:cs="宋体"/>
                <w:sz w:val="24"/>
                <w:szCs w:val="24"/>
              </w:rPr>
              <w:t>其他条件要求</w:t>
            </w:r>
          </w:p>
        </w:tc>
        <w:tc>
          <w:tcPr>
            <w:tcW w:w="3064"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备注</w:t>
            </w:r>
          </w:p>
        </w:tc>
      </w:tr>
      <w:tr>
        <w:tblPrEx>
          <w:tblLayout w:type="fixed"/>
          <w:tblCellMar>
            <w:top w:w="0" w:type="dxa"/>
            <w:left w:w="108" w:type="dxa"/>
            <w:bottom w:w="0" w:type="dxa"/>
            <w:right w:w="108" w:type="dxa"/>
          </w:tblCellMar>
        </w:tblPrEx>
        <w:trPr>
          <w:trHeight w:val="600" w:hRule="atLeast"/>
          <w:jc w:val="center"/>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widowControl w:val="0"/>
              <w:rPr>
                <w:rFonts w:ascii="黑体" w:hAnsi="宋体" w:eastAsia="黑体" w:cs="宋体"/>
                <w:sz w:val="22"/>
                <w:szCs w:val="22"/>
              </w:rPr>
            </w:pPr>
          </w:p>
        </w:tc>
        <w:tc>
          <w:tcPr>
            <w:tcW w:w="70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jc w:val="center"/>
              <w:rPr>
                <w:rFonts w:ascii="黑体" w:hAnsi="宋体" w:eastAsia="黑体" w:cs="宋体"/>
                <w:sz w:val="22"/>
                <w:szCs w:val="22"/>
              </w:rPr>
            </w:pPr>
            <w:r>
              <w:rPr>
                <w:rFonts w:hint="eastAsia" w:ascii="仿宋_GB2312" w:hAnsi="宋体" w:cs="宋体"/>
                <w:sz w:val="24"/>
                <w:szCs w:val="24"/>
              </w:rPr>
              <w:t>岗位类别</w:t>
            </w:r>
          </w:p>
        </w:tc>
        <w:tc>
          <w:tcPr>
            <w:tcW w:w="89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黑体" w:hAnsi="宋体" w:eastAsia="黑体" w:cs="宋体"/>
                <w:sz w:val="22"/>
                <w:szCs w:val="22"/>
              </w:rPr>
            </w:pPr>
            <w:r>
              <w:rPr>
                <w:rFonts w:hint="eastAsia" w:ascii="仿宋_GB2312" w:hAnsi="宋体" w:cs="宋体"/>
                <w:sz w:val="24"/>
                <w:szCs w:val="24"/>
              </w:rPr>
              <w:t>岗位名称</w:t>
            </w: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val="0"/>
              <w:rPr>
                <w:rFonts w:ascii="黑体" w:hAnsi="宋体" w:eastAsia="黑体" w:cs="宋体"/>
                <w:sz w:val="22"/>
                <w:szCs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val="0"/>
              <w:rPr>
                <w:rFonts w:ascii="黑体" w:hAnsi="宋体" w:eastAsia="黑体" w:cs="宋体"/>
                <w:sz w:val="22"/>
                <w:szCs w:val="22"/>
              </w:rPr>
            </w:pPr>
          </w:p>
        </w:tc>
        <w:tc>
          <w:tcPr>
            <w:tcW w:w="932" w:type="dxa"/>
            <w:vMerge w:val="continue"/>
            <w:tcBorders>
              <w:left w:val="nil"/>
              <w:bottom w:val="single" w:color="auto" w:sz="4" w:space="0"/>
              <w:right w:val="single" w:color="auto" w:sz="4" w:space="0"/>
            </w:tcBorders>
            <w:vAlign w:val="center"/>
          </w:tcPr>
          <w:p>
            <w:pPr>
              <w:widowControl w:val="0"/>
              <w:jc w:val="center"/>
              <w:rPr>
                <w:rFonts w:ascii="黑体" w:hAnsi="宋体" w:eastAsia="黑体" w:cs="宋体"/>
                <w:sz w:val="22"/>
                <w:szCs w:val="22"/>
              </w:rPr>
            </w:pPr>
          </w:p>
        </w:tc>
        <w:tc>
          <w:tcPr>
            <w:tcW w:w="1194" w:type="dxa"/>
            <w:tcBorders>
              <w:top w:val="nil"/>
              <w:left w:val="nil"/>
              <w:bottom w:val="single" w:color="auto" w:sz="4" w:space="0"/>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年龄</w:t>
            </w:r>
          </w:p>
        </w:tc>
        <w:tc>
          <w:tcPr>
            <w:tcW w:w="1134" w:type="dxa"/>
            <w:tcBorders>
              <w:top w:val="nil"/>
              <w:left w:val="nil"/>
              <w:bottom w:val="single" w:color="auto" w:sz="4" w:space="0"/>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学历</w:t>
            </w:r>
          </w:p>
          <w:p>
            <w:pPr>
              <w:widowControl w:val="0"/>
              <w:jc w:val="center"/>
              <w:rPr>
                <w:rFonts w:hint="eastAsia" w:ascii="仿宋_GB2312" w:hAnsi="宋体" w:cs="宋体"/>
                <w:sz w:val="24"/>
                <w:szCs w:val="24"/>
              </w:rPr>
            </w:pPr>
            <w:r>
              <w:rPr>
                <w:rFonts w:hint="eastAsia" w:ascii="仿宋_GB2312" w:hAnsi="宋体" w:cs="宋体"/>
                <w:sz w:val="24"/>
                <w:szCs w:val="24"/>
              </w:rPr>
              <w:t>或学位</w:t>
            </w:r>
          </w:p>
        </w:tc>
        <w:tc>
          <w:tcPr>
            <w:tcW w:w="1650" w:type="dxa"/>
            <w:tcBorders>
              <w:top w:val="single" w:color="auto" w:sz="4" w:space="0"/>
              <w:left w:val="nil"/>
              <w:bottom w:val="single" w:color="auto" w:sz="4" w:space="0"/>
              <w:right w:val="single" w:color="000000"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专业条件要求</w:t>
            </w:r>
          </w:p>
        </w:tc>
        <w:tc>
          <w:tcPr>
            <w:tcW w:w="1242" w:type="dxa"/>
            <w:tcBorders>
              <w:top w:val="nil"/>
              <w:left w:val="nil"/>
              <w:bottom w:val="single" w:color="auto" w:sz="4" w:space="0"/>
              <w:right w:val="single" w:color="auto" w:sz="4" w:space="0"/>
            </w:tcBorders>
            <w:vAlign w:val="center"/>
          </w:tcPr>
          <w:p>
            <w:pPr>
              <w:widowControl w:val="0"/>
              <w:jc w:val="center"/>
              <w:rPr>
                <w:rFonts w:hint="eastAsia" w:ascii="仿宋_GB2312" w:hAnsi="宋体" w:cs="宋体"/>
                <w:sz w:val="24"/>
                <w:szCs w:val="24"/>
              </w:rPr>
            </w:pPr>
            <w:r>
              <w:rPr>
                <w:rFonts w:hint="eastAsia" w:ascii="仿宋_GB2312" w:hAnsi="宋体" w:cs="宋体"/>
                <w:sz w:val="24"/>
                <w:szCs w:val="24"/>
              </w:rPr>
              <w:t>其他</w:t>
            </w:r>
          </w:p>
        </w:tc>
        <w:tc>
          <w:tcPr>
            <w:tcW w:w="3064" w:type="dxa"/>
            <w:vMerge w:val="continue"/>
            <w:tcBorders>
              <w:top w:val="single" w:color="auto" w:sz="4" w:space="0"/>
              <w:left w:val="single" w:color="auto" w:sz="4" w:space="0"/>
              <w:bottom w:val="single" w:color="auto" w:sz="4" w:space="0"/>
              <w:right w:val="single" w:color="auto" w:sz="4" w:space="0"/>
            </w:tcBorders>
            <w:vAlign w:val="center"/>
          </w:tcPr>
          <w:p>
            <w:pPr>
              <w:widowControl w:val="0"/>
              <w:rPr>
                <w:rFonts w:ascii="黑体" w:hAnsi="宋体" w:eastAsia="黑体" w:cs="宋体"/>
                <w:sz w:val="22"/>
                <w:szCs w:val="22"/>
              </w:rPr>
            </w:pPr>
          </w:p>
        </w:tc>
      </w:tr>
      <w:tr>
        <w:tblPrEx>
          <w:tblLayout w:type="fixed"/>
          <w:tblCellMar>
            <w:top w:w="0" w:type="dxa"/>
            <w:left w:w="108" w:type="dxa"/>
            <w:bottom w:w="0" w:type="dxa"/>
            <w:right w:w="108" w:type="dxa"/>
          </w:tblCellMar>
        </w:tblPrEx>
        <w:trPr>
          <w:trHeight w:val="60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思想政治理论课教学部</w:t>
            </w:r>
          </w:p>
        </w:tc>
        <w:tc>
          <w:tcPr>
            <w:tcW w:w="70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1</w:t>
            </w:r>
          </w:p>
        </w:tc>
        <w:tc>
          <w:tcPr>
            <w:tcW w:w="932" w:type="dxa"/>
            <w:tcBorders>
              <w:left w:val="nil"/>
              <w:bottom w:val="single" w:color="auto" w:sz="4" w:space="0"/>
              <w:right w:val="single" w:color="auto" w:sz="4"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nil"/>
              <w:left w:val="nil"/>
              <w:bottom w:val="single" w:color="auto" w:sz="4" w:space="0"/>
              <w:right w:val="single" w:color="auto" w:sz="4" w:space="0"/>
            </w:tcBorders>
            <w:vAlign w:val="center"/>
          </w:tcPr>
          <w:p>
            <w:pPr>
              <w:widowControl w:val="0"/>
              <w:spacing w:line="240" w:lineRule="exact"/>
              <w:jc w:val="center"/>
              <w:rPr>
                <w:rFonts w:ascii="仿宋_GB2312" w:hAnsi="宋体" w:cs="宋体"/>
                <w:sz w:val="20"/>
              </w:rPr>
            </w:pPr>
            <w:r>
              <w:rPr>
                <w:rFonts w:ascii="仿宋_GB2312" w:hAnsi="宋体" w:cs="宋体"/>
                <w:sz w:val="20"/>
              </w:rPr>
              <w:t>1982</w:t>
            </w:r>
            <w:r>
              <w:rPr>
                <w:rFonts w:hint="eastAsia" w:ascii="仿宋_GB2312" w:hAnsi="宋体" w:cs="宋体"/>
                <w:sz w:val="20"/>
              </w:rPr>
              <w:t>年</w:t>
            </w:r>
            <w:r>
              <w:rPr>
                <w:rFonts w:ascii="仿宋_GB2312" w:hAnsi="宋体" w:cs="宋体"/>
                <w:sz w:val="20"/>
              </w:rPr>
              <w:t>1</w:t>
            </w:r>
            <w:r>
              <w:rPr>
                <w:rFonts w:hint="eastAsia" w:ascii="仿宋_GB2312" w:hAnsi="宋体" w:cs="宋体"/>
                <w:sz w:val="20"/>
              </w:rPr>
              <w:t>月</w:t>
            </w:r>
            <w:r>
              <w:rPr>
                <w:rFonts w:ascii="仿宋_GB2312" w:hAnsi="宋体" w:cs="宋体"/>
                <w:sz w:val="20"/>
              </w:rPr>
              <w:t>1</w:t>
            </w:r>
            <w:r>
              <w:rPr>
                <w:rFonts w:hint="eastAsia" w:ascii="仿宋_GB2312" w:hAnsi="宋体" w:cs="宋体"/>
                <w:sz w:val="20"/>
              </w:rPr>
              <w:t>日及以后出生</w:t>
            </w:r>
          </w:p>
        </w:tc>
        <w:tc>
          <w:tcPr>
            <w:tcW w:w="1134" w:type="dxa"/>
            <w:tcBorders>
              <w:top w:val="nil"/>
              <w:left w:val="nil"/>
              <w:bottom w:val="single" w:color="auto" w:sz="4" w:space="0"/>
              <w:right w:val="single" w:color="auto" w:sz="4"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4" w:space="0"/>
              <w:left w:val="nil"/>
              <w:bottom w:val="single" w:color="auto" w:sz="4" w:space="0"/>
              <w:right w:val="single" w:color="000000" w:sz="4" w:space="0"/>
            </w:tcBorders>
            <w:vAlign w:val="center"/>
          </w:tcPr>
          <w:p>
            <w:pPr>
              <w:widowControl w:val="0"/>
              <w:rPr>
                <w:rFonts w:ascii="宋体" w:hAnsi="宋体" w:cs="宋体"/>
                <w:color w:val="000000"/>
                <w:sz w:val="22"/>
                <w:szCs w:val="22"/>
              </w:rPr>
            </w:pPr>
            <w:r>
              <w:rPr>
                <w:rFonts w:hint="eastAsia"/>
                <w:color w:val="000000"/>
                <w:sz w:val="22"/>
                <w:szCs w:val="22"/>
              </w:rPr>
              <w:t>马克思主义哲学专业、科学技术哲学专业</w:t>
            </w:r>
          </w:p>
        </w:tc>
        <w:tc>
          <w:tcPr>
            <w:tcW w:w="1242" w:type="dxa"/>
            <w:tcBorders>
              <w:top w:val="nil"/>
              <w:left w:val="nil"/>
              <w:bottom w:val="single" w:color="auto" w:sz="4"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中共党员</w:t>
            </w:r>
          </w:p>
        </w:tc>
        <w:tc>
          <w:tcPr>
            <w:tcW w:w="3064"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能承担马克思主义基本原理概论、毛泽东思想和中国特色社会主义理论体系概论、中国近现代史纲要等课程教学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思想政治理论课教学部</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ascii="仿宋_GB2312" w:hAnsi="宋体" w:cs="宋体"/>
                <w:sz w:val="20"/>
              </w:rPr>
              <w:t>19</w:t>
            </w:r>
            <w:r>
              <w:rPr>
                <w:rFonts w:hint="eastAsia" w:ascii="仿宋_GB2312" w:hAnsi="宋体" w:cs="宋体"/>
                <w:sz w:val="20"/>
              </w:rPr>
              <w:t>7</w:t>
            </w:r>
            <w:r>
              <w:rPr>
                <w:rFonts w:ascii="仿宋_GB2312" w:hAnsi="宋体" w:cs="宋体"/>
                <w:sz w:val="20"/>
              </w:rPr>
              <w:t>2</w:t>
            </w:r>
            <w:r>
              <w:rPr>
                <w:rFonts w:hint="eastAsia" w:ascii="仿宋_GB2312" w:hAnsi="宋体" w:cs="宋体"/>
                <w:sz w:val="20"/>
              </w:rPr>
              <w:t>年</w:t>
            </w:r>
            <w:r>
              <w:rPr>
                <w:rFonts w:ascii="仿宋_GB2312" w:hAnsi="宋体" w:cs="宋体"/>
                <w:sz w:val="20"/>
              </w:rPr>
              <w:t>1</w:t>
            </w:r>
            <w:r>
              <w:rPr>
                <w:rFonts w:hint="eastAsia" w:ascii="仿宋_GB2312" w:hAnsi="宋体" w:cs="宋体"/>
                <w:sz w:val="20"/>
              </w:rPr>
              <w:t>月</w:t>
            </w:r>
            <w:r>
              <w:rPr>
                <w:rFonts w:ascii="仿宋_GB2312" w:hAnsi="宋体" w:cs="宋体"/>
                <w:sz w:val="20"/>
              </w:rPr>
              <w:t>1</w:t>
            </w:r>
            <w:r>
              <w:rPr>
                <w:rFonts w:hint="eastAsia" w:ascii="仿宋_GB2312" w:hAnsi="宋体" w:cs="宋体"/>
                <w:sz w:val="20"/>
              </w:rPr>
              <w:t>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博士研究生学历学位及以上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法学一级学科、哲学一级学科</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中共党员</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ascii="宋体" w:hAnsi="宋体" w:cs="宋体"/>
                <w:color w:val="000000"/>
                <w:sz w:val="22"/>
                <w:szCs w:val="22"/>
              </w:rPr>
              <w:t>能承担</w:t>
            </w:r>
            <w:r>
              <w:rPr>
                <w:rFonts w:hint="eastAsia"/>
                <w:color w:val="000000"/>
                <w:sz w:val="22"/>
                <w:szCs w:val="22"/>
              </w:rPr>
              <w:t>马克思主义基本原理概论</w:t>
            </w:r>
            <w:r>
              <w:rPr>
                <w:rFonts w:hint="eastAsia" w:ascii="宋体" w:hAnsi="宋体" w:cs="宋体"/>
                <w:color w:val="000000"/>
                <w:sz w:val="22"/>
                <w:szCs w:val="22"/>
              </w:rPr>
              <w:t>、</w:t>
            </w:r>
            <w:r>
              <w:rPr>
                <w:rFonts w:hint="eastAsia"/>
                <w:color w:val="000000"/>
                <w:sz w:val="22"/>
                <w:szCs w:val="22"/>
              </w:rPr>
              <w:t>思想道德修养与法律基础、中国近现代史纲要等课程教学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学前教育学专业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能承担学前儿童游戏、幼儿园教学观察、保教知识等课程教学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教育技术学专业、发展与教育心理学专业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能承担现代教育技术、多媒体课件制作、微格教学、普通心理学、发展心理学、认知心理学等其中三门课程的教学，并从事3年以上实验室管理工作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1"/>
                <w:szCs w:val="21"/>
              </w:rPr>
            </w:pPr>
            <w:r>
              <w:rPr>
                <w:rFonts w:hint="eastAsia" w:ascii="仿宋_GB2312" w:hAnsi="宋体" w:cs="宋体"/>
                <w:sz w:val="20"/>
              </w:rPr>
              <w:t>教师教育学院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博士研究生学历学位</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心理学一级学科、教育学一级学科</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hint="eastAsia" w:ascii="宋体" w:hAnsi="宋体" w:cs="宋体"/>
                <w:color w:val="000000"/>
                <w:sz w:val="22"/>
                <w:szCs w:val="22"/>
              </w:rPr>
            </w:pPr>
            <w:r>
              <w:rPr>
                <w:rFonts w:hint="eastAsia"/>
                <w:color w:val="000000"/>
                <w:sz w:val="22"/>
                <w:szCs w:val="22"/>
              </w:rPr>
              <w:t>心理学一级学科、教育学一级学科的相关教学及科研工作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1"/>
                <w:szCs w:val="21"/>
              </w:rPr>
            </w:pPr>
            <w:r>
              <w:rPr>
                <w:rFonts w:hint="eastAsia" w:ascii="仿宋_GB2312" w:hAnsi="宋体" w:cs="宋体"/>
                <w:sz w:val="21"/>
                <w:szCs w:val="21"/>
              </w:rPr>
              <w:t>土木与水利工程学院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桥梁与隧道工程专业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能承担公路勘测设计、公路施工、桥梁工程等课程教学，并从事3年以上实验室管理工作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1"/>
                <w:szCs w:val="21"/>
              </w:rPr>
            </w:pPr>
            <w:r>
              <w:rPr>
                <w:rFonts w:hint="eastAsia" w:ascii="仿宋_GB2312" w:hAnsi="宋体" w:cs="宋体"/>
                <w:sz w:val="21"/>
                <w:szCs w:val="21"/>
              </w:rPr>
              <w:t>土木与水利工程学院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ascii="仿宋_GB2312" w:hAnsi="宋体" w:cs="宋体"/>
                <w:sz w:val="20"/>
              </w:rPr>
              <w:t>1982</w:t>
            </w:r>
            <w:r>
              <w:rPr>
                <w:rFonts w:hint="eastAsia" w:ascii="仿宋_GB2312" w:hAnsi="宋体" w:cs="宋体"/>
                <w:sz w:val="20"/>
              </w:rPr>
              <w:t>年</w:t>
            </w:r>
            <w:r>
              <w:rPr>
                <w:rFonts w:ascii="仿宋_GB2312" w:hAnsi="宋体" w:cs="宋体"/>
                <w:sz w:val="20"/>
              </w:rPr>
              <w:t>1</w:t>
            </w:r>
            <w:r>
              <w:rPr>
                <w:rFonts w:hint="eastAsia" w:ascii="仿宋_GB2312" w:hAnsi="宋体" w:cs="宋体"/>
                <w:sz w:val="20"/>
              </w:rPr>
              <w:t>月</w:t>
            </w:r>
            <w:r>
              <w:rPr>
                <w:rFonts w:ascii="仿宋_GB2312" w:hAnsi="宋体" w:cs="宋体"/>
                <w:sz w:val="20"/>
              </w:rPr>
              <w:t>1</w:t>
            </w:r>
            <w:r>
              <w:rPr>
                <w:rFonts w:hint="eastAsia" w:ascii="仿宋_GB2312" w:hAnsi="宋体" w:cs="宋体"/>
                <w:sz w:val="20"/>
              </w:rPr>
              <w:t>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水文学及水资源专业、水利水电工程专业、水工结构工程专业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能承担水力学、水文与水文地质、水质工程学、工程水文学、工程地质学、水电工程施工、水工钢筋混凝土结构学、水工建筑物、水力学等其中三门课程的教学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宋体" w:hAnsi="宋体" w:eastAsia="宋体" w:cs="宋体"/>
                <w:sz w:val="24"/>
                <w:szCs w:val="24"/>
              </w:rPr>
            </w:pPr>
            <w:r>
              <w:rPr>
                <w:rFonts w:hint="eastAsia" w:ascii="仿宋_GB2312" w:hAnsi="宋体" w:cs="宋体"/>
                <w:sz w:val="21"/>
                <w:szCs w:val="21"/>
              </w:rPr>
              <w:t>土木与水利工程学院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供热、供燃气、通风及空调工程专业、结构工程专业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能承担房屋建筑学、建筑给排水工程、安装工程经济与管理、钢结构、建筑抗震结构、混凝土结构等其中三门课程的教学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宋体" w:hAnsi="宋体" w:eastAsia="宋体" w:cs="宋体"/>
                <w:sz w:val="24"/>
                <w:szCs w:val="24"/>
              </w:rPr>
            </w:pPr>
            <w:r>
              <w:rPr>
                <w:rFonts w:hint="eastAsia" w:ascii="仿宋_GB2312" w:hAnsi="宋体" w:cs="宋体"/>
                <w:sz w:val="21"/>
                <w:szCs w:val="21"/>
              </w:rPr>
              <w:t>土木与水利工程学院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2017009</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测绘工程专业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能承担工程测量、工程制图、数理统计等课程教学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宋体" w:hAnsi="宋体" w:eastAsia="宋体" w:cs="宋体"/>
                <w:sz w:val="24"/>
                <w:szCs w:val="24"/>
              </w:rPr>
            </w:pPr>
            <w:r>
              <w:rPr>
                <w:rFonts w:hint="eastAsia" w:ascii="仿宋_GB2312" w:hAnsi="宋体" w:cs="宋体"/>
                <w:sz w:val="21"/>
                <w:szCs w:val="21"/>
              </w:rPr>
              <w:t>体育学院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2017010</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体育教育训练学专业、体育教学专业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能承担游泳、解剖学、生理学等课程教学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1"/>
                <w:szCs w:val="21"/>
              </w:rPr>
              <w:t>体育学院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2017011</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体育教育训练学专业、体育教学专业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能承担乒乓球、运动处方、体育管理学等课程教学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宋体" w:hAnsi="宋体" w:eastAsia="宋体" w:cs="宋体"/>
                <w:sz w:val="24"/>
                <w:szCs w:val="24"/>
              </w:rPr>
            </w:pPr>
            <w:r>
              <w:rPr>
                <w:rFonts w:hint="eastAsia" w:ascii="仿宋_GB2312" w:hAnsi="宋体" w:cs="宋体"/>
                <w:sz w:val="21"/>
                <w:szCs w:val="21"/>
              </w:rPr>
              <w:t>体育学院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体育教育训练学专业、体育教学专业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能承担篮球、体育保健学、学校体育学等课程教学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宋体" w:hAnsi="宋体" w:eastAsia="宋体" w:cs="宋体"/>
                <w:sz w:val="24"/>
                <w:szCs w:val="24"/>
              </w:rPr>
            </w:pPr>
            <w:r>
              <w:rPr>
                <w:rFonts w:hint="eastAsia" w:ascii="仿宋_GB2312" w:hAnsi="宋体" w:cs="宋体"/>
                <w:sz w:val="21"/>
                <w:szCs w:val="21"/>
              </w:rPr>
              <w:t>体育学院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运动训练专业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仿宋_GB2312" w:hAnsi="宋体" w:cs="宋体"/>
                <w:color w:val="000000"/>
                <w:sz w:val="21"/>
                <w:szCs w:val="21"/>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能承担运动心理学、网球、跆拳道等课程教学，并从事3年以上实验室管理工作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文化传媒学院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新闻学专业、传播学专业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能承担新媒体概论、广告策划与创意、传播学等课程教学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文化传媒学院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广播电视艺术学专业、播音与主持艺术专业、广播电视专业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具有普通话一级乙等及以上证书</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能承担电视摄像、基础摄影、微电影创作、普通话、播音发声、播音创作、电视播音与主持实训等其中三门课程的教学，并从事3年以上实验室管理工作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文化传媒学院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文艺学专业、中国古代文学专业、新闻学专业、中国现当代文学专业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能承担写作、中国现当代文学、中国古代文学、美学等课程教学，并自愿从事公文写作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文化传媒学院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博士研究生学历学位　</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中国语言文学一级学科</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ascii="仿宋_GB2312" w:hAnsi="宋体" w:cs="宋体"/>
                <w:sz w:val="21"/>
                <w:szCs w:val="21"/>
              </w:rPr>
              <w:t>具有扎实的专业知识，能承担专业课程的理论及实践教学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　　</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理论物理专业、粒子物理与原子物理专业、原子与分子物理专业、等离子体物理专业、凝聚态物理专业、声学专业、光学专业、天文学专业、天体物理专业、课程与教学论（物理）专业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能承担大学物理、理论力学、热力学等课程教学，并从事3年以上实验室管理工作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2017019</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材料物理与化学专业、材料学专业、材料加工工程专业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能承担相图及应用、材料工程基础、复合材料学等课程教学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2017020</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博士研究生学历学位</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数学一级学科、物理学一级学科、化学一级学科</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能承担数学专业或物理学专业或化学专业课程教学并能承担相关科学研究工作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经济管理学院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2017021</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企业管理专业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能承担生产运作与管理、项目管理、企业战略管理等课程教学，并能够进行民族地区工商企业管理问题研究，并从事3年以上实验室管理工作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经济管理学院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会计专业、会计学专业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能承担风险管理、税务会计、财务管理实训等课程教学，并能够进行民族地区经济、财务管理等问题研究，并从事3年以上实验室管理工作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经济管理学院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国际贸易学专业、国际贸易专业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能承担进出口贸易实务、跨国公司理论与实务、国际贸易理论等课程教学，并能够进行民族地区跨境贸易等问题研究，并从事3年以上实验室管理工作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经济管理学院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产业经济学专业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能承担微观经济学、宏观经济学、计量经济学等课程教学，并从事3年以上实验室管理工作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经济管理学院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w:t>
            </w:r>
          </w:p>
          <w:p>
            <w:pPr>
              <w:widowControl w:val="0"/>
              <w:spacing w:line="240" w:lineRule="exact"/>
              <w:jc w:val="center"/>
              <w:rPr>
                <w:rFonts w:ascii="仿宋_GB2312" w:hAnsi="宋体" w:cs="宋体"/>
                <w:sz w:val="20"/>
              </w:rPr>
            </w:pPr>
            <w:r>
              <w:rPr>
                <w:rFonts w:hint="eastAsia" w:ascii="仿宋_GB2312" w:hAnsi="宋体" w:cs="宋体"/>
                <w:sz w:val="20"/>
              </w:rPr>
              <w:t>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物流工程专业、物流与供应链管理专业、物流管理与工程专业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能承担国际物流实务、现代物流管理实务、物流配送中心设计等课程教学及相关实训课程教学，能够进行民族地区物流建设问题研究，并从事3年以上实验室管理工作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经济管理学院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w:t>
            </w:r>
          </w:p>
          <w:p>
            <w:pPr>
              <w:widowControl w:val="0"/>
              <w:spacing w:line="240" w:lineRule="exact"/>
              <w:jc w:val="center"/>
              <w:rPr>
                <w:rFonts w:hint="eastAsia" w:ascii="仿宋_GB2312" w:hAnsi="宋体" w:cs="宋体"/>
                <w:sz w:val="20"/>
              </w:rPr>
            </w:pPr>
            <w:r>
              <w:rPr>
                <w:rFonts w:hint="eastAsia" w:ascii="仿宋_GB2312" w:hAnsi="宋体" w:cs="宋体"/>
                <w:sz w:val="20"/>
              </w:rPr>
              <w:t>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金融工程专业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能承担金融市场学、证券投资学、金融工具运用分析等课程教学，并能够进行民族地区经济与金融问题研究，并从事3年以上实验室管理工作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彝语言文化学院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w:t>
            </w:r>
          </w:p>
          <w:p>
            <w:pPr>
              <w:widowControl w:val="0"/>
              <w:spacing w:line="240" w:lineRule="exact"/>
              <w:jc w:val="center"/>
              <w:rPr>
                <w:rFonts w:ascii="仿宋_GB2312" w:hAnsi="宋体" w:cs="宋体"/>
                <w:sz w:val="20"/>
              </w:rPr>
            </w:pPr>
            <w:r>
              <w:rPr>
                <w:rFonts w:hint="eastAsia" w:ascii="仿宋_GB2312" w:hAnsi="宋体" w:cs="宋体"/>
                <w:sz w:val="20"/>
              </w:rPr>
              <w:t>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中国少数民族语言文学专业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能承担彝文信息处理理论与实践、彝文课件制作、现代教育技术等课程教学，并从事3年以上实验室管理工作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彝语言文化学院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w:t>
            </w:r>
          </w:p>
          <w:p>
            <w:pPr>
              <w:widowControl w:val="0"/>
              <w:spacing w:line="240" w:lineRule="exact"/>
              <w:jc w:val="center"/>
              <w:rPr>
                <w:rFonts w:ascii="仿宋_GB2312" w:hAnsi="宋体" w:cs="宋体"/>
                <w:sz w:val="20"/>
              </w:rPr>
            </w:pPr>
            <w:r>
              <w:rPr>
                <w:rFonts w:hint="eastAsia" w:ascii="仿宋_GB2312" w:hAnsi="宋体" w:cs="宋体"/>
                <w:sz w:val="20"/>
              </w:rPr>
              <w:t>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ascii="仿宋_GB2312" w:hAnsi="宋体" w:cs="宋体"/>
                <w:sz w:val="20"/>
              </w:rPr>
              <w:t>1982</w:t>
            </w:r>
            <w:r>
              <w:rPr>
                <w:rFonts w:hint="eastAsia" w:ascii="仿宋_GB2312" w:hAnsi="宋体" w:cs="宋体"/>
                <w:sz w:val="20"/>
              </w:rPr>
              <w:t>年</w:t>
            </w:r>
            <w:r>
              <w:rPr>
                <w:rFonts w:ascii="仿宋_GB2312" w:hAnsi="宋体" w:cs="宋体"/>
                <w:sz w:val="20"/>
              </w:rPr>
              <w:t>1</w:t>
            </w:r>
            <w:r>
              <w:rPr>
                <w:rFonts w:hint="eastAsia" w:ascii="仿宋_GB2312" w:hAnsi="宋体" w:cs="宋体"/>
                <w:sz w:val="20"/>
              </w:rPr>
              <w:t>月</w:t>
            </w:r>
            <w:r>
              <w:rPr>
                <w:rFonts w:ascii="仿宋_GB2312" w:hAnsi="宋体" w:cs="宋体"/>
                <w:sz w:val="20"/>
              </w:rPr>
              <w:t>1</w:t>
            </w:r>
            <w:r>
              <w:rPr>
                <w:rFonts w:hint="eastAsia" w:ascii="仿宋_GB2312" w:hAnsi="宋体" w:cs="宋体"/>
                <w:sz w:val="20"/>
              </w:rPr>
              <w:t>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宗教学专业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能承担宗教学概论、民族理论与民族政策、民族学概论等课程教学，并从事3年以上实验室管理工作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彝语言文化学院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2017029</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博士研究生学历学位</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彝学专业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能承担彝族历史与文化、彝族诗学、彝族古籍文献研究课程教学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外国语学院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2017030</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r>
              <w:rPr>
                <w:rFonts w:hint="eastAsia"/>
                <w:color w:val="000000"/>
                <w:sz w:val="22"/>
                <w:szCs w:val="22"/>
              </w:rPr>
              <w:t>英语语言文学专业、外国语言学及应用语言学专业、学科教学（英语）专业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color w:val="000000"/>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color w:val="000000"/>
                <w:sz w:val="22"/>
                <w:szCs w:val="22"/>
              </w:rPr>
            </w:pPr>
            <w:r>
              <w:rPr>
                <w:rFonts w:hint="eastAsia"/>
                <w:color w:val="000000"/>
                <w:sz w:val="22"/>
                <w:szCs w:val="22"/>
              </w:rPr>
              <w:t>能承担英语专业基础课程、专业课程教学，并从事3年以上实验室管理工作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外国语学院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2017031</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国际商务专业、商务英语研究专业、国际商务文化专业、国际商务管理专业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能承担商务英语专业基础课程、专业课程教学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外国语学院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宋体" w:hAnsi="宋体" w:cs="宋体"/>
                <w:sz w:val="24"/>
              </w:rPr>
            </w:pPr>
            <w:r>
              <w:rPr>
                <w:rFonts w:hint="eastAsia" w:ascii="仿宋_GB2312" w:hAnsi="宋体" w:cs="宋体"/>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英语笔译专业、英语口译专业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能承担翻译专业（英语）基础课程、专业课程教学，并从事3年以上实验室管理工作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信息技术学院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微电子学与固体电子学专业、电路与系统专业、电子科学与技术专业、电子微系统工程专业、集成电路工程专业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能承担半导体物理、电磁场与电磁波、量子力学等课程教学及实验室管理工作，并从事3年以上实验室管理工作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信息技术学院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通信与信息系统专业、电子与通信工程专业、信息与通信工程专业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能承担通信原理、DSP技术、数据通信等课程教学，并从事3年以上实验室管理工作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信息技术学院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2</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计算机科学与技术专业、软件工程专业、计算机技术专业、网络空间安全专业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图像信息处理、计算机图形学、计算机动画、嵌入式系统与设计、嵌入式系统开发、嵌入式系统原理与应用等其中三门课程的教学，并从事3年以上实验室管理工作,或承担全校计算机类实验实训室管理及运维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机械与电气工程学院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2</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top"/>
          </w:tcPr>
          <w:p>
            <w:pPr>
              <w:widowControl w:val="0"/>
              <w:spacing w:line="240" w:lineRule="exact"/>
              <w:jc w:val="center"/>
              <w:rPr>
                <w:rFonts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电机与电器专业、电力系统及其自动化专业、高电压与绝缘技术专业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能承担电机学、电力拖动、电力电子技术、电力系统分析、电力系统继电保护、电力市场、高电压技术、新能源及发电技术、电机学等其中三门的课程教学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机械与电气工程学院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2</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sz w:val="22"/>
                <w:szCs w:val="22"/>
              </w:rPr>
            </w:pPr>
            <w:r>
              <w:rPr>
                <w:rFonts w:hint="eastAsia"/>
                <w:sz w:val="22"/>
                <w:szCs w:val="22"/>
              </w:rPr>
              <w:t>机械工程专业、机械制造及其自动化专业、机械电子工程专业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能承担机械设计、机械基础、机械制造、机械制造技术、液压与气压传动、工业机器人技术、控制工程基础、机电传动控制、机电一体化系统设计等其中三门课程的教学，并从事3年以上实验室管理工作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机械与电气工程学院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车辆工程专业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sz w:val="22"/>
                <w:szCs w:val="22"/>
              </w:rPr>
              <w:t>能承担汽车维修工程、汽车自动变速技术、汽车发动机构造等课程教学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资源与环境学院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2017039</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hint="eastAsia"/>
                <w:sz w:val="22"/>
                <w:szCs w:val="22"/>
              </w:rPr>
            </w:pPr>
            <w:r>
              <w:rPr>
                <w:rFonts w:hint="eastAsia"/>
                <w:sz w:val="22"/>
                <w:szCs w:val="22"/>
              </w:rPr>
              <w:t>地图学与地理信息系统专业、</w:t>
            </w:r>
          </w:p>
          <w:p>
            <w:pPr>
              <w:widowControl w:val="0"/>
              <w:rPr>
                <w:rFonts w:ascii="宋体" w:hAnsi="宋体" w:cs="宋体"/>
                <w:sz w:val="22"/>
                <w:szCs w:val="22"/>
              </w:rPr>
            </w:pPr>
            <w:r>
              <w:rPr>
                <w:rFonts w:hint="eastAsia"/>
                <w:sz w:val="22"/>
                <w:szCs w:val="22"/>
              </w:rPr>
              <w:t>遥感与GIS</w:t>
            </w:r>
            <w:r>
              <w:rPr>
                <w:rFonts w:hint="eastAsia" w:ascii="仿宋_GB2312"/>
                <w:sz w:val="22"/>
                <w:szCs w:val="22"/>
              </w:rPr>
              <w:t>理论技术及应用</w:t>
            </w:r>
            <w:r>
              <w:rPr>
                <w:rFonts w:hint="eastAsia"/>
                <w:sz w:val="22"/>
                <w:szCs w:val="22"/>
              </w:rPr>
              <w:t>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top"/>
          </w:tcPr>
          <w:p>
            <w:pPr>
              <w:widowControl w:val="0"/>
              <w:jc w:val="both"/>
            </w:pPr>
            <w:r>
              <w:rPr>
                <w:rFonts w:hint="eastAsia" w:ascii="仿宋_GB2312"/>
                <w:sz w:val="22"/>
                <w:szCs w:val="22"/>
              </w:rPr>
              <w:t>能承担地理信息系统、遥感应用、测量学等课程的理论与实践教学</w:t>
            </w:r>
          </w:p>
          <w:p>
            <w:pPr>
              <w:widowControl w:val="0"/>
              <w:jc w:val="both"/>
              <w:rPr>
                <w:rFonts w:ascii="宋体" w:hAnsi="宋体" w:cs="宋体"/>
                <w:sz w:val="22"/>
                <w:szCs w:val="22"/>
              </w:rPr>
            </w:pP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资源与环境学院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2017040</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土地资源管理专业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pPr>
            <w:r>
              <w:rPr>
                <w:rFonts w:hint="eastAsia" w:ascii="仿宋_GB2312"/>
                <w:sz w:val="22"/>
                <w:szCs w:val="22"/>
              </w:rPr>
              <w:t>能承担房地产开发经营管理、土地规划、土地评价等课程理论与实践教学任务。</w:t>
            </w:r>
          </w:p>
          <w:p>
            <w:pPr>
              <w:widowControl w:val="0"/>
              <w:rPr>
                <w:rFonts w:ascii="宋体" w:hAnsi="宋体" w:cs="宋体"/>
                <w:sz w:val="22"/>
                <w:szCs w:val="22"/>
              </w:rPr>
            </w:pP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资源与环境学院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2017041</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生态学专业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能承担生态修复、污染控制、人工湿地、环境影响评价等课程教学，并从事3年以上实验室管理工作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资源与环境学院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环境科学专业、环境工程专业、大气科学专业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能承担生态修复、污染控制、人工湿地，或环境监测、环境信息系统、环境工程CAD，大气环境学、环境资源学等课程教学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少数民族预科教育学院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运筹学与控制论专业、基础数学专业、计算数学专业、概率论与数理统计专业、应用数学专业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能承担预科数学教学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少数民族预科教育学院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英语语言文学专业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能承担预科英语教学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少数民族预科教育学院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ascii="宋体" w:hAnsi="宋体" w:cs="宋体"/>
                <w:sz w:val="22"/>
                <w:szCs w:val="22"/>
              </w:rPr>
            </w:pPr>
            <w:r>
              <w:rPr>
                <w:rFonts w:hint="eastAsia"/>
                <w:sz w:val="22"/>
                <w:szCs w:val="22"/>
              </w:rPr>
              <w:t>理论物理专业、</w:t>
            </w:r>
            <w:r>
              <w:rPr>
                <w:rFonts w:hint="eastAsia"/>
                <w:sz w:val="22"/>
                <w:szCs w:val="22"/>
              </w:rPr>
              <w:br w:type="textWrapping"/>
            </w:r>
            <w:r>
              <w:rPr>
                <w:rFonts w:hint="eastAsia"/>
                <w:sz w:val="22"/>
                <w:szCs w:val="22"/>
              </w:rPr>
              <w:t>原子与分子物理专业、等离子体物理专业、声学专业、光学专业、无线电物理</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 xml:space="preserve">能承担预科物理教学工作 </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少数民族预科教育学院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体育教育训练学做专业、民族传统体育学专业、体育人文社会学专业、运动人体科学专业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能承担预科体育教学、 运动团队训练、民族传统体育项目训练工作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旅游与城乡规划学院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城乡规划学专业、城市规划与设计专业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能承担城乡规划、建筑设计、景观规划等课程的理论及实训教学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旅游与城乡规划学院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行政管理专业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能承担行政管理学、税收策划、保险理论实务等课程教学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旅游与城乡规划学院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2017049</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旅游管理专业、区域文化与旅游经济专业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能承担旅行社管理、景区管理、旅游教育培训等课程的理论、实训教学，并从事3年以上实验室管理工作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农业科学学院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2017050</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蔬菜学专业、果树学专业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能承担蔬菜栽培、蔬菜育种、设施园艺、果树栽培、园艺植物栽培通论等其中三门课程的理论与实践教学，并从事3年以上实验室管理工作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农业科学学院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2017051</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本科学历及以上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园艺专业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hint="eastAsia" w:ascii="宋体" w:hAnsi="宋体" w:cs="宋体"/>
                <w:sz w:val="22"/>
                <w:szCs w:val="22"/>
              </w:rPr>
            </w:pPr>
            <w:r>
              <w:rPr>
                <w:rFonts w:hint="eastAsia" w:ascii="宋体" w:hAnsi="宋体" w:cs="宋体"/>
                <w:sz w:val="22"/>
                <w:szCs w:val="22"/>
              </w:rPr>
              <w:t>副高职称</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能承担园艺专业实践课程教学及实验室管理工作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农业科学学院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作物遗传育种专业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能承担作物遗传育种等课程教学及科研及实验室管理工作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农业科学学院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博士研究生学历学位</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作物栽培学与耕作学专业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能承担作物栽培学与耕作学等课程教学及科研</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农业科学学院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食品工程专业、食品科学与工程专业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能承担食品机械与设备、食品工厂设计、食品工厂原理等课程教学及科研</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动物科学学院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2</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药物化学专业、药剂学专业、药物分析学专业、微生物与生化药学专业、生药学专业、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能承担药物化学、天然药物化学、制药工艺学等课程理论、实践教学及科研工作，并从事3年以上实验室管理工作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动物科学学院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临床兽医学专业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能承担动物解剖学、动物外科及外科手术学、动物产科学等课程的实践教学，并从事3年以上实验室管理工作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动物科学学院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1972年1月1日及以后出生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博士研究生学历学位</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畜牧学一级学科、兽医学一级学科</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能承担畜牧、兽医等方面的教学、科研工作</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应用艺术(颜色\建筑\空间)专业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能承担室内设计、景观设计、3dmax等课程教学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2017059</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展示策划与设计专业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能承担产品设计、室内设计、景观设计等课程教学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2017060</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设计学专业、工业设计专业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能承担三大构成、产品造型设计、CAD、PS、3D等课程教学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2017061</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环境艺术设计专业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能承担室内设计、景观设计、3dmax、草图大师等课程教学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2017062</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服装设计专业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能承担服装设计、服装效果图、服装制作等课程教学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2017063</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ascii="仿宋_GB2312" w:hAnsi="宋体" w:cs="宋体"/>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音乐专业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能承担声乐、意大利语音、钢琴、即兴配奏等其中二门课程的教学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艺术学院</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教师</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2017064</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1</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中国乐器(古筝)专业、中国乐器(琵琶)专业、中国乐器(二胡)专业</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能承担古筝、琵琶、二胡、基础乐理、音乐欣赏等其中三门课程的教学</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学工部</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辅导员</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2017065</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8</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12"/>
                <w:szCs w:val="12"/>
              </w:rPr>
            </w:pPr>
            <w:r>
              <w:rPr>
                <w:rFonts w:hint="eastAsia"/>
                <w:sz w:val="22"/>
                <w:szCs w:val="22"/>
              </w:rPr>
              <w:t>理学学科门类、工学学科门类、农学学科门类</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中共党员</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入住男生公寓</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学工部</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辅导员</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2017066</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4</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12"/>
                <w:szCs w:val="12"/>
              </w:rPr>
            </w:pPr>
            <w:r>
              <w:rPr>
                <w:rFonts w:hint="eastAsia"/>
                <w:sz w:val="22"/>
                <w:szCs w:val="22"/>
              </w:rPr>
              <w:t>理学学科门类、工学学科门类、农学学科门类</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22"/>
                <w:szCs w:val="22"/>
              </w:rPr>
            </w:pPr>
            <w:r>
              <w:rPr>
                <w:rFonts w:hint="eastAsia"/>
                <w:sz w:val="22"/>
                <w:szCs w:val="22"/>
              </w:rPr>
              <w:t>中共党员</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spacing w:line="240" w:lineRule="exact"/>
              <w:rPr>
                <w:rFonts w:hint="eastAsia" w:ascii="仿宋_GB2312" w:hAnsi="宋体" w:cs="宋体"/>
                <w:sz w:val="20"/>
              </w:rPr>
            </w:pPr>
            <w:r>
              <w:rPr>
                <w:rFonts w:hint="eastAsia"/>
                <w:sz w:val="22"/>
                <w:szCs w:val="22"/>
              </w:rPr>
              <w:t>入住女生公寓</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学工部</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辅导员</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2017067</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4</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sz w:val="22"/>
                <w:szCs w:val="22"/>
              </w:rPr>
            </w:pPr>
            <w:r>
              <w:rPr>
                <w:rFonts w:hint="eastAsia"/>
                <w:sz w:val="22"/>
                <w:szCs w:val="22"/>
              </w:rPr>
              <w:t>哲学学科门类、经济学学科门类、法学学科门类、教育学学科门类、文学学科门类、管理学学科门类、艺术学学科门类</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仿宋_GB2312" w:hAnsi="宋体" w:cs="宋体"/>
                <w:sz w:val="21"/>
                <w:szCs w:val="21"/>
              </w:rPr>
            </w:pPr>
            <w:r>
              <w:rPr>
                <w:rFonts w:hint="eastAsia" w:ascii="仿宋_GB2312"/>
                <w:sz w:val="21"/>
                <w:szCs w:val="21"/>
              </w:rPr>
              <w:t>中共党员</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rPr>
                <w:rFonts w:ascii="宋体" w:hAnsi="宋体" w:cs="宋体"/>
                <w:sz w:val="22"/>
                <w:szCs w:val="22"/>
              </w:rPr>
            </w:pPr>
            <w:r>
              <w:rPr>
                <w:rFonts w:hint="eastAsia"/>
                <w:sz w:val="22"/>
                <w:szCs w:val="22"/>
              </w:rPr>
              <w:t>入住男生公寓</w:t>
            </w:r>
          </w:p>
        </w:tc>
      </w:tr>
      <w:tr>
        <w:tblPrEx>
          <w:tblLayout w:type="fixed"/>
          <w:tblCellMar>
            <w:top w:w="0" w:type="dxa"/>
            <w:left w:w="108" w:type="dxa"/>
            <w:bottom w:w="0" w:type="dxa"/>
            <w:right w:w="108" w:type="dxa"/>
          </w:tblCellMar>
        </w:tblPrEx>
        <w:trPr>
          <w:trHeight w:val="499" w:hRule="atLeast"/>
          <w:jc w:val="center"/>
        </w:trPr>
        <w:tc>
          <w:tcPr>
            <w:tcW w:w="991" w:type="dxa"/>
            <w:tcBorders>
              <w:top w:val="single" w:color="auto" w:sz="6" w:space="0"/>
              <w:left w:val="single" w:color="auto" w:sz="4"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学工部</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专技</w:t>
            </w:r>
          </w:p>
        </w:tc>
        <w:tc>
          <w:tcPr>
            <w:tcW w:w="896"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辅导员</w:t>
            </w:r>
          </w:p>
        </w:tc>
        <w:tc>
          <w:tcPr>
            <w:tcW w:w="1013"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1"/>
                <w:szCs w:val="21"/>
              </w:rPr>
            </w:pPr>
            <w:r>
              <w:rPr>
                <w:rFonts w:hint="eastAsia" w:ascii="仿宋_GB2312" w:hAnsi="宋体" w:cs="宋体"/>
                <w:sz w:val="21"/>
                <w:szCs w:val="21"/>
              </w:rPr>
              <w:t>2017068</w:t>
            </w:r>
          </w:p>
        </w:tc>
        <w:tc>
          <w:tcPr>
            <w:tcW w:w="709"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eastAsia" w:ascii="仿宋_GB2312" w:hAnsi="宋体" w:cs="宋体"/>
                <w:sz w:val="22"/>
                <w:szCs w:val="22"/>
              </w:rPr>
            </w:pPr>
            <w:r>
              <w:rPr>
                <w:rFonts w:hint="eastAsia" w:ascii="仿宋_GB2312"/>
                <w:sz w:val="22"/>
                <w:szCs w:val="22"/>
              </w:rPr>
              <w:t>2</w:t>
            </w:r>
          </w:p>
        </w:tc>
        <w:tc>
          <w:tcPr>
            <w:tcW w:w="932"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详见公告</w:t>
            </w:r>
          </w:p>
        </w:tc>
        <w:tc>
          <w:tcPr>
            <w:tcW w:w="119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hAnsi="宋体" w:cs="宋体"/>
                <w:sz w:val="20"/>
              </w:rPr>
            </w:pPr>
            <w:r>
              <w:rPr>
                <w:rFonts w:hint="eastAsia" w:ascii="仿宋_GB2312" w:hAnsi="宋体" w:cs="宋体"/>
                <w:sz w:val="20"/>
              </w:rPr>
              <w:t>1982年1月1日及以后出生</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val="0"/>
              <w:spacing w:line="240" w:lineRule="exact"/>
              <w:jc w:val="center"/>
              <w:rPr>
                <w:rFonts w:hint="eastAsia" w:ascii="仿宋_GB2312"/>
                <w:sz w:val="20"/>
              </w:rPr>
            </w:pPr>
            <w:r>
              <w:rPr>
                <w:rFonts w:hint="eastAsia" w:ascii="仿宋_GB2312"/>
                <w:sz w:val="20"/>
              </w:rPr>
              <w:t>硕士研究生学历学位及以上</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rPr>
                <w:rFonts w:ascii="宋体" w:hAnsi="宋体" w:cs="宋体"/>
                <w:sz w:val="12"/>
                <w:szCs w:val="12"/>
              </w:rPr>
            </w:pPr>
            <w:r>
              <w:rPr>
                <w:rFonts w:hint="eastAsia"/>
                <w:sz w:val="22"/>
                <w:szCs w:val="22"/>
              </w:rPr>
              <w:t>哲学学科门类、经济学学科门类、法学学科门类、教育学学科门类、文学学科门类、管理学学科门类、艺术学学科门类</w:t>
            </w:r>
          </w:p>
        </w:tc>
        <w:tc>
          <w:tcPr>
            <w:tcW w:w="1242" w:type="dxa"/>
            <w:tcBorders>
              <w:top w:val="single" w:color="auto" w:sz="6" w:space="0"/>
              <w:left w:val="single" w:color="auto" w:sz="6" w:space="0"/>
              <w:bottom w:val="single" w:color="auto" w:sz="6" w:space="0"/>
              <w:right w:val="single" w:color="auto" w:sz="6" w:space="0"/>
            </w:tcBorders>
            <w:vAlign w:val="center"/>
          </w:tcPr>
          <w:p>
            <w:pPr>
              <w:widowControl w:val="0"/>
              <w:rPr>
                <w:rFonts w:ascii="仿宋_GB2312" w:hAnsi="宋体" w:cs="宋体"/>
                <w:sz w:val="21"/>
                <w:szCs w:val="21"/>
              </w:rPr>
            </w:pPr>
            <w:r>
              <w:rPr>
                <w:rFonts w:hint="eastAsia" w:ascii="仿宋_GB2312"/>
                <w:sz w:val="21"/>
                <w:szCs w:val="21"/>
              </w:rPr>
              <w:t>中共党员</w:t>
            </w:r>
          </w:p>
        </w:tc>
        <w:tc>
          <w:tcPr>
            <w:tcW w:w="3064" w:type="dxa"/>
            <w:tcBorders>
              <w:top w:val="single" w:color="auto" w:sz="6" w:space="0"/>
              <w:left w:val="single" w:color="auto" w:sz="6" w:space="0"/>
              <w:bottom w:val="single" w:color="auto" w:sz="6" w:space="0"/>
              <w:right w:val="single" w:color="auto" w:sz="4" w:space="0"/>
            </w:tcBorders>
            <w:vAlign w:val="center"/>
          </w:tcPr>
          <w:p>
            <w:pPr>
              <w:widowControl w:val="0"/>
              <w:spacing w:line="240" w:lineRule="exact"/>
              <w:rPr>
                <w:rFonts w:hint="eastAsia" w:ascii="仿宋_GB2312" w:hAnsi="宋体" w:cs="宋体"/>
                <w:sz w:val="20"/>
              </w:rPr>
            </w:pPr>
            <w:r>
              <w:rPr>
                <w:rFonts w:hint="eastAsia"/>
                <w:sz w:val="22"/>
                <w:szCs w:val="22"/>
              </w:rPr>
              <w:t>入住女生公寓</w:t>
            </w:r>
          </w:p>
        </w:tc>
      </w:tr>
    </w:tbl>
    <w:p>
      <w:pPr>
        <w:widowControl w:val="0"/>
        <w:spacing w:line="240" w:lineRule="exact"/>
        <w:ind w:firstLine="480" w:firstLineChars="200"/>
        <w:rPr>
          <w:rFonts w:hint="eastAsia" w:ascii="楷体_GB2312" w:eastAsia="楷体_GB2312"/>
          <w:sz w:val="24"/>
          <w:szCs w:val="24"/>
        </w:rPr>
      </w:pPr>
    </w:p>
    <w:p>
      <w:pPr>
        <w:widowControl w:val="0"/>
        <w:spacing w:line="240" w:lineRule="exact"/>
        <w:ind w:firstLine="480" w:firstLineChars="200"/>
      </w:pPr>
      <w:r>
        <w:rPr>
          <w:rFonts w:hint="eastAsia" w:ascii="楷体_GB2312" w:eastAsia="楷体_GB2312"/>
          <w:sz w:val="24"/>
          <w:szCs w:val="24"/>
        </w:rPr>
        <w:t>注：1、本表各岗位相关的其他条件及要求请见本公告正文；2、报考者本人有效学位证和毕业证所载学位和学历及专业名称，须完全符合其所报岗位“学历或学位”和“专业条件要求”两栏的学历、专业条件要求相符</w:t>
      </w:r>
      <w:r>
        <w:rPr>
          <w:rFonts w:hint="eastAsia" w:ascii="楷体_GB2312" w:eastAsia="楷体_GB2312"/>
          <w:sz w:val="24"/>
          <w:szCs w:val="24"/>
          <w:lang w:eastAsia="zh-CN"/>
        </w:rPr>
        <w:t>；</w:t>
      </w:r>
      <w:r>
        <w:rPr>
          <w:rFonts w:hint="eastAsia" w:ascii="楷体_GB2312" w:eastAsia="楷体_GB2312"/>
          <w:sz w:val="24"/>
          <w:szCs w:val="24"/>
          <w:lang w:val="en-US" w:eastAsia="zh-CN"/>
        </w:rPr>
        <w:t>3、本表</w:t>
      </w:r>
      <w:r>
        <w:rPr>
          <w:rFonts w:hint="default" w:ascii="楷体_GB2312" w:eastAsia="楷体_GB2312"/>
          <w:sz w:val="24"/>
          <w:szCs w:val="24"/>
          <w:lang w:val="en-US" w:eastAsia="zh-CN"/>
        </w:rPr>
        <w:t>”</w:t>
      </w:r>
      <w:r>
        <w:rPr>
          <w:rFonts w:hint="eastAsia" w:ascii="楷体_GB2312" w:eastAsia="楷体_GB2312"/>
          <w:sz w:val="24"/>
          <w:szCs w:val="24"/>
          <w:lang w:val="en-US" w:eastAsia="zh-CN"/>
        </w:rPr>
        <w:t>专业条件要求</w:t>
      </w:r>
      <w:r>
        <w:rPr>
          <w:rFonts w:hint="default" w:ascii="楷体_GB2312" w:eastAsia="楷体_GB2312"/>
          <w:sz w:val="24"/>
          <w:szCs w:val="24"/>
          <w:lang w:val="en-US" w:eastAsia="zh-CN"/>
        </w:rPr>
        <w:t>”</w:t>
      </w:r>
      <w:r>
        <w:rPr>
          <w:rFonts w:hint="eastAsia" w:ascii="楷体_GB2312" w:eastAsia="楷体_GB2312"/>
          <w:sz w:val="24"/>
          <w:szCs w:val="24"/>
          <w:lang w:val="en-US" w:eastAsia="zh-CN"/>
        </w:rPr>
        <w:t>栏注明为学科门类或一级学科的，该学科门类和一级学科目录下的所有专业均符合要求。</w:t>
      </w:r>
      <w:bookmarkStart w:id="0" w:name="_GoBack"/>
      <w:bookmarkEnd w:id="0"/>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永中宋体">
    <w:altName w:val="宋体"/>
    <w:panose1 w:val="02010600030101010101"/>
    <w:charset w:val="86"/>
    <w:family w:val="auto"/>
    <w:pitch w:val="default"/>
    <w:sig w:usb0="00000000" w:usb1="00000000" w:usb2="00000010" w:usb3="00000000" w:csb0="00040001" w:csb1="00000000"/>
  </w:font>
  <w:font w:name="Microsoft YaHei">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3099F"/>
    <w:rsid w:val="37B3099F"/>
    <w:rsid w:val="6F1178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仿宋_GB2312"/>
      <w:sz w:val="3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eastAsia="Times New Roman"/>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2017-03-30T02:20:00Z</dcterms:created>
  <dc:creator>Administrator</dc:creator>
  <cp:lastModifiedBy>Administrator</cp:lastModifiedBy>
  <dcterms:modified xsi:type="dcterms:W3CDTF">2017-03-30T02:21:29Z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