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79" w:lineRule="exact"/>
        <w:ind w:firstLine="420" w:firstLineChars="200"/>
        <w:rPr>
          <w:rFonts w:cs="Times New Roman"/>
        </w:rPr>
      </w:pPr>
    </w:p>
    <w:p>
      <w:pPr>
        <w:widowControl/>
        <w:spacing w:line="579" w:lineRule="exact"/>
        <w:jc w:val="center"/>
        <w:rPr>
          <w:rFonts w:ascii="方正小标宋简体" w:hAns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海军招飞初检预选体格检查有关标准</w:t>
      </w:r>
    </w:p>
    <w:p>
      <w:pPr>
        <w:widowControl/>
        <w:spacing w:line="579" w:lineRule="exact"/>
        <w:rPr>
          <w:rFonts w:ascii="仿宋_GB2312" w:hAnsi="Arial" w:eastAsia="仿宋_GB2312" w:cs="Times New Roman"/>
          <w:kern w:val="0"/>
          <w:sz w:val="32"/>
          <w:szCs w:val="32"/>
        </w:rPr>
      </w:pPr>
    </w:p>
    <w:p>
      <w:pPr>
        <w:widowControl/>
        <w:spacing w:line="579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一、海军飞行学员报名自荐条件</w:t>
      </w:r>
      <w:r>
        <w:rPr>
          <w:rFonts w:hint="eastAsia" w:ascii="楷体" w:hAnsi="楷体" w:eastAsia="楷体" w:cs="楷体"/>
          <w:kern w:val="0"/>
          <w:sz w:val="32"/>
          <w:szCs w:val="32"/>
        </w:rPr>
        <w:t>（通常由校医检查）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身高</w:t>
      </w:r>
      <w:r>
        <w:rPr>
          <w:rFonts w:ascii="仿宋_GB2312" w:hAnsi="Arial" w:eastAsia="仿宋_GB2312" w:cs="仿宋_GB2312"/>
          <w:kern w:val="0"/>
          <w:sz w:val="32"/>
          <w:szCs w:val="32"/>
        </w:rPr>
        <w:t>165-185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厘米之间，体型匀称；体重在</w:t>
      </w:r>
      <w:r>
        <w:rPr>
          <w:rFonts w:ascii="仿宋_GB2312" w:hAnsi="Arial" w:eastAsia="仿宋_GB2312" w:cs="仿宋_GB2312"/>
          <w:kern w:val="0"/>
          <w:sz w:val="32"/>
          <w:szCs w:val="32"/>
        </w:rPr>
        <w:t>52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公斤以上（未满</w:t>
      </w:r>
      <w:r>
        <w:rPr>
          <w:rFonts w:ascii="仿宋_GB2312" w:hAnsi="Arial" w:eastAsia="仿宋_GB2312" w:cs="仿宋_GB2312"/>
          <w:kern w:val="0"/>
          <w:sz w:val="32"/>
          <w:szCs w:val="32"/>
        </w:rPr>
        <w:t>18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周岁体重在</w:t>
      </w:r>
      <w:r>
        <w:rPr>
          <w:rFonts w:ascii="仿宋_GB2312" w:hAnsi="Arial" w:eastAsia="仿宋_GB2312" w:cs="仿宋_GB2312"/>
          <w:kern w:val="0"/>
          <w:sz w:val="32"/>
          <w:szCs w:val="32"/>
        </w:rPr>
        <w:t>50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公斤以上），身体质量指数符合标准。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静息血压值不超过</w:t>
      </w:r>
      <w:r>
        <w:rPr>
          <w:rFonts w:ascii="仿宋_GB2312" w:hAnsi="Arial" w:eastAsia="仿宋_GB2312" w:cs="仿宋_GB2312"/>
          <w:kern w:val="0"/>
          <w:sz w:val="32"/>
          <w:szCs w:val="32"/>
        </w:rPr>
        <w:t>138/88mmHg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，不低于</w:t>
      </w:r>
      <w:r>
        <w:rPr>
          <w:rFonts w:ascii="仿宋_GB2312" w:hAnsi="Arial" w:eastAsia="仿宋_GB2312" w:cs="仿宋_GB2312"/>
          <w:kern w:val="0"/>
          <w:sz w:val="32"/>
          <w:szCs w:val="32"/>
        </w:rPr>
        <w:t>100/60mmHg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，脉压差不小于</w:t>
      </w:r>
      <w:r>
        <w:rPr>
          <w:rFonts w:ascii="仿宋_GB2312" w:hAnsi="Arial" w:eastAsia="仿宋_GB2312" w:cs="仿宋_GB2312"/>
          <w:kern w:val="0"/>
          <w:sz w:val="32"/>
          <w:szCs w:val="32"/>
        </w:rPr>
        <w:t>30mmHg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，脉搏</w:t>
      </w:r>
      <w:r>
        <w:rPr>
          <w:rFonts w:ascii="仿宋_GB2312" w:hAnsi="Arial" w:eastAsia="仿宋_GB2312" w:cs="仿宋_GB2312"/>
          <w:kern w:val="0"/>
          <w:sz w:val="32"/>
          <w:szCs w:val="32"/>
        </w:rPr>
        <w:t>56-100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次</w:t>
      </w:r>
      <w:r>
        <w:rPr>
          <w:rFonts w:ascii="仿宋_GB2312" w:hAnsi="Arial" w:eastAsia="仿宋_GB2312" w:cs="仿宋_GB2312"/>
          <w:kern w:val="0"/>
          <w:sz w:val="32"/>
          <w:szCs w:val="32"/>
        </w:rPr>
        <w:t>/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分钟。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用</w:t>
      </w:r>
      <w:r>
        <w:rPr>
          <w:rFonts w:ascii="仿宋_GB2312" w:hAnsi="Arial" w:eastAsia="仿宋_GB2312" w:cs="仿宋_GB2312"/>
          <w:kern w:val="0"/>
          <w:sz w:val="32"/>
          <w:szCs w:val="32"/>
        </w:rPr>
        <w:t>C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字视力表检查，双眼裸眼远视力不低于</w:t>
      </w:r>
      <w:r>
        <w:rPr>
          <w:rFonts w:ascii="仿宋_GB2312" w:hAnsi="Arial" w:eastAsia="仿宋_GB2312" w:cs="仿宋_GB2312"/>
          <w:kern w:val="0"/>
          <w:sz w:val="32"/>
          <w:szCs w:val="32"/>
        </w:rPr>
        <w:t>0.8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（相当于</w:t>
      </w:r>
      <w:r>
        <w:rPr>
          <w:rFonts w:ascii="仿宋_GB2312" w:hAnsi="Arial" w:eastAsia="仿宋_GB2312" w:cs="仿宋_GB2312"/>
          <w:kern w:val="0"/>
          <w:sz w:val="32"/>
          <w:szCs w:val="32"/>
        </w:rPr>
        <w:t>E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字表</w:t>
      </w:r>
      <w:r>
        <w:rPr>
          <w:rFonts w:ascii="仿宋_GB2312" w:hAnsi="Arial" w:eastAsia="仿宋_GB2312" w:cs="仿宋_GB2312"/>
          <w:kern w:val="0"/>
          <w:sz w:val="32"/>
          <w:szCs w:val="32"/>
        </w:rPr>
        <w:t>1.0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），无色盲、色弱、斜视，未做过视力矫正术（如准分子手术、角膜塑形镜矫治等）。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无口吃，无文身，听力、嗅觉正常。</w:t>
      </w:r>
    </w:p>
    <w:p>
      <w:pPr>
        <w:widowControl/>
        <w:spacing w:line="579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二、初检预选体格检查重点把握情况</w:t>
      </w:r>
      <w:r>
        <w:rPr>
          <w:rFonts w:hint="eastAsia" w:ascii="楷体" w:hAnsi="楷体" w:eastAsia="楷体" w:cs="楷体"/>
          <w:kern w:val="0"/>
          <w:sz w:val="32"/>
          <w:szCs w:val="32"/>
        </w:rPr>
        <w:t>（通常由二级甲等以上医院、体检机构掌握）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眼科：有无影响视功能的晶体混浊；有无斜视、上睑下垂等眼病及手术史；有无屈光矫正手术史或角膜塑型治疗史。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内科：有无先天性心脏病；各系统有无慢性疾病及病史；有无口吃；病理征是否阴性。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外科：有无明显脊柱侧弯、前凸、平直；暴露部位有无明显疤痕及胎痣；有无颅内、胸内脏器手术史，腹部疝及阑尾炎术后有无并发症；有无肢体残缺、畸形；体型是否匀称。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耳鼻喉科：有无慢性鼻炎、鼻窦炎等疾病；鼓膜是否完好</w:t>
      </w:r>
      <w:r>
        <w:rPr>
          <w:rFonts w:ascii="仿宋_GB2312" w:hAnsi="Arial" w:eastAsia="仿宋_GB2312" w:cs="仿宋_GB2312"/>
          <w:kern w:val="0"/>
          <w:sz w:val="32"/>
          <w:szCs w:val="32"/>
        </w:rPr>
        <w:t>,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有无菲薄斑痕，能窥全貌；有无严重的锁合、开合、反合及龋齿。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5.B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超：检查肝、胆、胰、脾、肾，重点掌握胆囊息肉的生长部位、大小、个数；肝内钙化、血管瘤的面积及个数；肾囊肿的位置、大小、个数；脾脏的长度和厚度。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化验：检查乙肝五项。</w:t>
      </w:r>
    </w:p>
    <w:p>
      <w:pPr>
        <w:widowControl/>
        <w:spacing w:line="579" w:lineRule="exact"/>
        <w:ind w:firstLine="640" w:firstLineChars="200"/>
        <w:rPr>
          <w:rFonts w:ascii="仿宋_GB2312" w:hAnsi="Arial" w:eastAsia="仿宋_GB2312" w:cs="Times New Roman"/>
          <w:kern w:val="0"/>
          <w:sz w:val="32"/>
          <w:szCs w:val="32"/>
        </w:rPr>
      </w:pPr>
      <w:r>
        <w:rPr>
          <w:rFonts w:ascii="仿宋_GB2312" w:hAnsi="Arial" w:eastAsia="仿宋_GB2312" w:cs="仿宋_GB2312"/>
          <w:kern w:val="0"/>
          <w:sz w:val="32"/>
          <w:szCs w:val="32"/>
        </w:rPr>
        <w:t>7.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听力：听力计检查，分别检测</w:t>
      </w:r>
      <w:r>
        <w:rPr>
          <w:rFonts w:ascii="仿宋_GB2312" w:hAnsi="Arial" w:eastAsia="仿宋_GB2312" w:cs="仿宋_GB2312"/>
          <w:kern w:val="0"/>
          <w:sz w:val="32"/>
          <w:szCs w:val="32"/>
        </w:rPr>
        <w:t>250HZ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、</w:t>
      </w:r>
      <w:r>
        <w:rPr>
          <w:rFonts w:ascii="仿宋_GB2312" w:hAnsi="Arial" w:eastAsia="仿宋_GB2312" w:cs="仿宋_GB2312"/>
          <w:kern w:val="0"/>
          <w:sz w:val="32"/>
          <w:szCs w:val="32"/>
        </w:rPr>
        <w:t>500HZ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、</w:t>
      </w:r>
      <w:r>
        <w:rPr>
          <w:rFonts w:ascii="仿宋_GB2312" w:hAnsi="Arial" w:eastAsia="仿宋_GB2312" w:cs="仿宋_GB2312"/>
          <w:kern w:val="0"/>
          <w:sz w:val="32"/>
          <w:szCs w:val="32"/>
        </w:rPr>
        <w:t>1000HZ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、</w:t>
      </w:r>
      <w:r>
        <w:rPr>
          <w:rFonts w:ascii="仿宋_GB2312" w:hAnsi="Arial" w:eastAsia="仿宋_GB2312" w:cs="仿宋_GB2312"/>
          <w:kern w:val="0"/>
          <w:sz w:val="32"/>
          <w:szCs w:val="32"/>
        </w:rPr>
        <w:t>2000HZ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、</w:t>
      </w:r>
      <w:r>
        <w:rPr>
          <w:rFonts w:ascii="仿宋_GB2312" w:hAnsi="Arial" w:eastAsia="仿宋_GB2312" w:cs="仿宋_GB2312"/>
          <w:kern w:val="0"/>
          <w:sz w:val="32"/>
          <w:szCs w:val="32"/>
        </w:rPr>
        <w:t>3000HZ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、</w:t>
      </w:r>
      <w:r>
        <w:rPr>
          <w:rFonts w:ascii="仿宋_GB2312" w:hAnsi="Arial" w:eastAsia="仿宋_GB2312" w:cs="仿宋_GB2312"/>
          <w:kern w:val="0"/>
          <w:sz w:val="32"/>
          <w:szCs w:val="32"/>
        </w:rPr>
        <w:t>4000HZ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、</w:t>
      </w:r>
      <w:r>
        <w:rPr>
          <w:rFonts w:ascii="仿宋_GB2312" w:hAnsi="Arial" w:eastAsia="仿宋_GB2312" w:cs="仿宋_GB2312"/>
          <w:kern w:val="0"/>
          <w:sz w:val="32"/>
          <w:szCs w:val="32"/>
        </w:rPr>
        <w:t>6000HZ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、</w:t>
      </w:r>
      <w:r>
        <w:rPr>
          <w:rFonts w:ascii="仿宋_GB2312" w:hAnsi="Arial" w:eastAsia="仿宋_GB2312" w:cs="仿宋_GB2312"/>
          <w:kern w:val="0"/>
          <w:sz w:val="32"/>
          <w:szCs w:val="32"/>
        </w:rPr>
        <w:t>8000HZ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频率值。</w:t>
      </w:r>
    </w:p>
    <w:sectPr>
      <w:pgSz w:w="11906" w:h="16838"/>
      <w:pgMar w:top="2098" w:right="1474" w:bottom="1985" w:left="158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69"/>
    <w:rsid w:val="00004555"/>
    <w:rsid w:val="00007C07"/>
    <w:rsid w:val="0001243B"/>
    <w:rsid w:val="00012851"/>
    <w:rsid w:val="0001452B"/>
    <w:rsid w:val="0002124C"/>
    <w:rsid w:val="000220B5"/>
    <w:rsid w:val="00034C49"/>
    <w:rsid w:val="00034F57"/>
    <w:rsid w:val="00035DED"/>
    <w:rsid w:val="00042F7B"/>
    <w:rsid w:val="00046CB2"/>
    <w:rsid w:val="0005574C"/>
    <w:rsid w:val="0006566B"/>
    <w:rsid w:val="00070C08"/>
    <w:rsid w:val="000830B1"/>
    <w:rsid w:val="000903F1"/>
    <w:rsid w:val="000B1092"/>
    <w:rsid w:val="000B5F19"/>
    <w:rsid w:val="000B727F"/>
    <w:rsid w:val="000C5155"/>
    <w:rsid w:val="000C6D77"/>
    <w:rsid w:val="000D69FB"/>
    <w:rsid w:val="000D6AEC"/>
    <w:rsid w:val="000E1BBC"/>
    <w:rsid w:val="000E3220"/>
    <w:rsid w:val="000E75E0"/>
    <w:rsid w:val="000F3F8C"/>
    <w:rsid w:val="0010687D"/>
    <w:rsid w:val="00110674"/>
    <w:rsid w:val="00114BE9"/>
    <w:rsid w:val="00124275"/>
    <w:rsid w:val="00127B57"/>
    <w:rsid w:val="00131759"/>
    <w:rsid w:val="0013245B"/>
    <w:rsid w:val="00132E09"/>
    <w:rsid w:val="00134CF1"/>
    <w:rsid w:val="00135BC5"/>
    <w:rsid w:val="0014191C"/>
    <w:rsid w:val="001422AC"/>
    <w:rsid w:val="001437CD"/>
    <w:rsid w:val="00146946"/>
    <w:rsid w:val="00153A31"/>
    <w:rsid w:val="00155F1F"/>
    <w:rsid w:val="00172B78"/>
    <w:rsid w:val="00174E54"/>
    <w:rsid w:val="001755EE"/>
    <w:rsid w:val="0019031F"/>
    <w:rsid w:val="001940DC"/>
    <w:rsid w:val="00195863"/>
    <w:rsid w:val="00196AF9"/>
    <w:rsid w:val="001971CF"/>
    <w:rsid w:val="001A0831"/>
    <w:rsid w:val="001A0E46"/>
    <w:rsid w:val="001A1A2C"/>
    <w:rsid w:val="001A31A4"/>
    <w:rsid w:val="001A72B8"/>
    <w:rsid w:val="001A7DAB"/>
    <w:rsid w:val="001B0A04"/>
    <w:rsid w:val="001B0EDF"/>
    <w:rsid w:val="001B135B"/>
    <w:rsid w:val="001B4821"/>
    <w:rsid w:val="001B5B24"/>
    <w:rsid w:val="001C4BE3"/>
    <w:rsid w:val="001D5268"/>
    <w:rsid w:val="001F17A2"/>
    <w:rsid w:val="001F43C0"/>
    <w:rsid w:val="002234A5"/>
    <w:rsid w:val="00225987"/>
    <w:rsid w:val="00234DA8"/>
    <w:rsid w:val="00240FE4"/>
    <w:rsid w:val="00252230"/>
    <w:rsid w:val="0025410C"/>
    <w:rsid w:val="0025559F"/>
    <w:rsid w:val="0026151E"/>
    <w:rsid w:val="00263451"/>
    <w:rsid w:val="0026692C"/>
    <w:rsid w:val="00274FEA"/>
    <w:rsid w:val="002766DC"/>
    <w:rsid w:val="0028125E"/>
    <w:rsid w:val="00292C46"/>
    <w:rsid w:val="00297214"/>
    <w:rsid w:val="00297D70"/>
    <w:rsid w:val="002A1203"/>
    <w:rsid w:val="002A34E5"/>
    <w:rsid w:val="002B4940"/>
    <w:rsid w:val="002C6601"/>
    <w:rsid w:val="002D2C6D"/>
    <w:rsid w:val="002D5868"/>
    <w:rsid w:val="002E06D1"/>
    <w:rsid w:val="002E4695"/>
    <w:rsid w:val="002E59EB"/>
    <w:rsid w:val="002F09D0"/>
    <w:rsid w:val="002F297B"/>
    <w:rsid w:val="002F3A6F"/>
    <w:rsid w:val="002F7CAF"/>
    <w:rsid w:val="00311914"/>
    <w:rsid w:val="00312F1D"/>
    <w:rsid w:val="0031456A"/>
    <w:rsid w:val="00322E75"/>
    <w:rsid w:val="00323346"/>
    <w:rsid w:val="00334BC1"/>
    <w:rsid w:val="0034089E"/>
    <w:rsid w:val="0035141E"/>
    <w:rsid w:val="00355800"/>
    <w:rsid w:val="00356C1D"/>
    <w:rsid w:val="00356C70"/>
    <w:rsid w:val="00360766"/>
    <w:rsid w:val="00363631"/>
    <w:rsid w:val="00364228"/>
    <w:rsid w:val="00364E70"/>
    <w:rsid w:val="00366F13"/>
    <w:rsid w:val="00371C1F"/>
    <w:rsid w:val="003765CA"/>
    <w:rsid w:val="00392EDF"/>
    <w:rsid w:val="003A5C23"/>
    <w:rsid w:val="003B6A11"/>
    <w:rsid w:val="003B6E8E"/>
    <w:rsid w:val="003C0C02"/>
    <w:rsid w:val="003C763A"/>
    <w:rsid w:val="003D62AE"/>
    <w:rsid w:val="003E468E"/>
    <w:rsid w:val="003E5E3B"/>
    <w:rsid w:val="003F326B"/>
    <w:rsid w:val="003F4215"/>
    <w:rsid w:val="003F64E9"/>
    <w:rsid w:val="003F65E8"/>
    <w:rsid w:val="003F7339"/>
    <w:rsid w:val="00402769"/>
    <w:rsid w:val="00405171"/>
    <w:rsid w:val="004159EC"/>
    <w:rsid w:val="00416FDC"/>
    <w:rsid w:val="004246B2"/>
    <w:rsid w:val="00425791"/>
    <w:rsid w:val="004269C5"/>
    <w:rsid w:val="004272ED"/>
    <w:rsid w:val="0043065D"/>
    <w:rsid w:val="004337D7"/>
    <w:rsid w:val="004424E0"/>
    <w:rsid w:val="00450DE7"/>
    <w:rsid w:val="00452FD9"/>
    <w:rsid w:val="00462B71"/>
    <w:rsid w:val="00463E2A"/>
    <w:rsid w:val="00482B70"/>
    <w:rsid w:val="00490992"/>
    <w:rsid w:val="004A3BAB"/>
    <w:rsid w:val="004B2A1D"/>
    <w:rsid w:val="004D4488"/>
    <w:rsid w:val="004D59FE"/>
    <w:rsid w:val="004E149B"/>
    <w:rsid w:val="004E62E7"/>
    <w:rsid w:val="004E6554"/>
    <w:rsid w:val="004F0D6D"/>
    <w:rsid w:val="004F4291"/>
    <w:rsid w:val="004F5ABC"/>
    <w:rsid w:val="00500756"/>
    <w:rsid w:val="005035B7"/>
    <w:rsid w:val="0050494D"/>
    <w:rsid w:val="00507B32"/>
    <w:rsid w:val="00511C13"/>
    <w:rsid w:val="00513565"/>
    <w:rsid w:val="00520388"/>
    <w:rsid w:val="00524FCC"/>
    <w:rsid w:val="00544934"/>
    <w:rsid w:val="00551BB0"/>
    <w:rsid w:val="00553E2C"/>
    <w:rsid w:val="00553E82"/>
    <w:rsid w:val="00553E9E"/>
    <w:rsid w:val="00556747"/>
    <w:rsid w:val="0056036E"/>
    <w:rsid w:val="00563D71"/>
    <w:rsid w:val="00566FF1"/>
    <w:rsid w:val="0056762A"/>
    <w:rsid w:val="00574ABA"/>
    <w:rsid w:val="005856B1"/>
    <w:rsid w:val="005A0512"/>
    <w:rsid w:val="005A0826"/>
    <w:rsid w:val="005A1EE2"/>
    <w:rsid w:val="005A3D0D"/>
    <w:rsid w:val="005B1640"/>
    <w:rsid w:val="005B353F"/>
    <w:rsid w:val="005C3A34"/>
    <w:rsid w:val="005D23B7"/>
    <w:rsid w:val="005D712A"/>
    <w:rsid w:val="005E00C2"/>
    <w:rsid w:val="005E0FC0"/>
    <w:rsid w:val="005E2C29"/>
    <w:rsid w:val="005E43EA"/>
    <w:rsid w:val="005F6C68"/>
    <w:rsid w:val="00603411"/>
    <w:rsid w:val="006063ED"/>
    <w:rsid w:val="00610A0A"/>
    <w:rsid w:val="00611EB4"/>
    <w:rsid w:val="006120AA"/>
    <w:rsid w:val="00613502"/>
    <w:rsid w:val="00620129"/>
    <w:rsid w:val="00623F03"/>
    <w:rsid w:val="00626136"/>
    <w:rsid w:val="00630852"/>
    <w:rsid w:val="00631B4B"/>
    <w:rsid w:val="00632C07"/>
    <w:rsid w:val="00633D00"/>
    <w:rsid w:val="006345CB"/>
    <w:rsid w:val="00646CA9"/>
    <w:rsid w:val="006507AA"/>
    <w:rsid w:val="00654369"/>
    <w:rsid w:val="006579D7"/>
    <w:rsid w:val="006619D8"/>
    <w:rsid w:val="00666343"/>
    <w:rsid w:val="006823DE"/>
    <w:rsid w:val="00695F6C"/>
    <w:rsid w:val="00696CF6"/>
    <w:rsid w:val="006A0187"/>
    <w:rsid w:val="006A0B08"/>
    <w:rsid w:val="006A0C86"/>
    <w:rsid w:val="006A1874"/>
    <w:rsid w:val="006B24B9"/>
    <w:rsid w:val="006B24ED"/>
    <w:rsid w:val="006B2C7C"/>
    <w:rsid w:val="006B4777"/>
    <w:rsid w:val="006B4EFA"/>
    <w:rsid w:val="006C65FE"/>
    <w:rsid w:val="006D1539"/>
    <w:rsid w:val="006F05B5"/>
    <w:rsid w:val="006F4565"/>
    <w:rsid w:val="00702B04"/>
    <w:rsid w:val="007042CD"/>
    <w:rsid w:val="00707D4C"/>
    <w:rsid w:val="00711434"/>
    <w:rsid w:val="007228BA"/>
    <w:rsid w:val="00725B0C"/>
    <w:rsid w:val="00734F14"/>
    <w:rsid w:val="007433D4"/>
    <w:rsid w:val="0076211A"/>
    <w:rsid w:val="0076745A"/>
    <w:rsid w:val="007677DB"/>
    <w:rsid w:val="00771DAA"/>
    <w:rsid w:val="0077378D"/>
    <w:rsid w:val="00773939"/>
    <w:rsid w:val="00783A53"/>
    <w:rsid w:val="00786864"/>
    <w:rsid w:val="00786DBD"/>
    <w:rsid w:val="007A1864"/>
    <w:rsid w:val="007A25E3"/>
    <w:rsid w:val="007A2CEB"/>
    <w:rsid w:val="007B23BE"/>
    <w:rsid w:val="007B3E51"/>
    <w:rsid w:val="007B6740"/>
    <w:rsid w:val="007B7052"/>
    <w:rsid w:val="007C0558"/>
    <w:rsid w:val="007D0F00"/>
    <w:rsid w:val="007D4EC6"/>
    <w:rsid w:val="007D74DD"/>
    <w:rsid w:val="007E011B"/>
    <w:rsid w:val="007E6901"/>
    <w:rsid w:val="007E739C"/>
    <w:rsid w:val="007F1BC6"/>
    <w:rsid w:val="00800569"/>
    <w:rsid w:val="008036A2"/>
    <w:rsid w:val="00805C6A"/>
    <w:rsid w:val="00812D2F"/>
    <w:rsid w:val="008178DA"/>
    <w:rsid w:val="00820E62"/>
    <w:rsid w:val="0082127A"/>
    <w:rsid w:val="00825997"/>
    <w:rsid w:val="008333A9"/>
    <w:rsid w:val="00833C8A"/>
    <w:rsid w:val="00834B35"/>
    <w:rsid w:val="00840696"/>
    <w:rsid w:val="00850869"/>
    <w:rsid w:val="00852DE6"/>
    <w:rsid w:val="00856EC8"/>
    <w:rsid w:val="00860EBF"/>
    <w:rsid w:val="00861C88"/>
    <w:rsid w:val="008621AA"/>
    <w:rsid w:val="00870DFA"/>
    <w:rsid w:val="0087272B"/>
    <w:rsid w:val="00892C1D"/>
    <w:rsid w:val="008A0AA2"/>
    <w:rsid w:val="008A2170"/>
    <w:rsid w:val="008B1671"/>
    <w:rsid w:val="008B6157"/>
    <w:rsid w:val="008B6E34"/>
    <w:rsid w:val="008C1498"/>
    <w:rsid w:val="008C5893"/>
    <w:rsid w:val="008D399E"/>
    <w:rsid w:val="008D5CD1"/>
    <w:rsid w:val="008E18D2"/>
    <w:rsid w:val="008F0BCF"/>
    <w:rsid w:val="008F1C54"/>
    <w:rsid w:val="008F3E9B"/>
    <w:rsid w:val="008F7B12"/>
    <w:rsid w:val="00900170"/>
    <w:rsid w:val="00902572"/>
    <w:rsid w:val="00902DD4"/>
    <w:rsid w:val="00903C0D"/>
    <w:rsid w:val="009167C5"/>
    <w:rsid w:val="00926CCB"/>
    <w:rsid w:val="009312DA"/>
    <w:rsid w:val="0093611E"/>
    <w:rsid w:val="00943E00"/>
    <w:rsid w:val="00943E7D"/>
    <w:rsid w:val="0094416F"/>
    <w:rsid w:val="009475AD"/>
    <w:rsid w:val="009504E3"/>
    <w:rsid w:val="00952C05"/>
    <w:rsid w:val="00953E0A"/>
    <w:rsid w:val="00960B06"/>
    <w:rsid w:val="00963134"/>
    <w:rsid w:val="009674B3"/>
    <w:rsid w:val="00970F10"/>
    <w:rsid w:val="00971788"/>
    <w:rsid w:val="009729A9"/>
    <w:rsid w:val="00973790"/>
    <w:rsid w:val="00987045"/>
    <w:rsid w:val="00987AFA"/>
    <w:rsid w:val="00990062"/>
    <w:rsid w:val="00994001"/>
    <w:rsid w:val="009B08C9"/>
    <w:rsid w:val="009B4991"/>
    <w:rsid w:val="009B6D39"/>
    <w:rsid w:val="009C11C1"/>
    <w:rsid w:val="009C445A"/>
    <w:rsid w:val="009C5E9E"/>
    <w:rsid w:val="009C7D24"/>
    <w:rsid w:val="009D1A8B"/>
    <w:rsid w:val="009D223B"/>
    <w:rsid w:val="009D354F"/>
    <w:rsid w:val="009D640B"/>
    <w:rsid w:val="009E39AD"/>
    <w:rsid w:val="009E3FE2"/>
    <w:rsid w:val="009E4B74"/>
    <w:rsid w:val="009E58AE"/>
    <w:rsid w:val="00A1149F"/>
    <w:rsid w:val="00A13DB4"/>
    <w:rsid w:val="00A14E2D"/>
    <w:rsid w:val="00A20B8D"/>
    <w:rsid w:val="00A20C3C"/>
    <w:rsid w:val="00A222B6"/>
    <w:rsid w:val="00A257F1"/>
    <w:rsid w:val="00A26E8F"/>
    <w:rsid w:val="00A32B16"/>
    <w:rsid w:val="00A334ED"/>
    <w:rsid w:val="00A365B7"/>
    <w:rsid w:val="00A4009A"/>
    <w:rsid w:val="00A40457"/>
    <w:rsid w:val="00A40C56"/>
    <w:rsid w:val="00A40D5F"/>
    <w:rsid w:val="00A44FB9"/>
    <w:rsid w:val="00A52C32"/>
    <w:rsid w:val="00A6055E"/>
    <w:rsid w:val="00A61EF3"/>
    <w:rsid w:val="00A63AA9"/>
    <w:rsid w:val="00A665E9"/>
    <w:rsid w:val="00A7111C"/>
    <w:rsid w:val="00A76A22"/>
    <w:rsid w:val="00A76AB4"/>
    <w:rsid w:val="00A8157A"/>
    <w:rsid w:val="00A830B4"/>
    <w:rsid w:val="00A834B9"/>
    <w:rsid w:val="00A87D5C"/>
    <w:rsid w:val="00A87E61"/>
    <w:rsid w:val="00A90A80"/>
    <w:rsid w:val="00A9165B"/>
    <w:rsid w:val="00A93B69"/>
    <w:rsid w:val="00A979F2"/>
    <w:rsid w:val="00AA2D75"/>
    <w:rsid w:val="00AA639F"/>
    <w:rsid w:val="00AB70D2"/>
    <w:rsid w:val="00AC0739"/>
    <w:rsid w:val="00AD0D5B"/>
    <w:rsid w:val="00AD5EE8"/>
    <w:rsid w:val="00AD5F09"/>
    <w:rsid w:val="00AD635A"/>
    <w:rsid w:val="00AF3DDD"/>
    <w:rsid w:val="00AF4C81"/>
    <w:rsid w:val="00AF5C6F"/>
    <w:rsid w:val="00AF7C98"/>
    <w:rsid w:val="00B05533"/>
    <w:rsid w:val="00B0722A"/>
    <w:rsid w:val="00B125F2"/>
    <w:rsid w:val="00B15BE8"/>
    <w:rsid w:val="00B16D68"/>
    <w:rsid w:val="00B17095"/>
    <w:rsid w:val="00B1793A"/>
    <w:rsid w:val="00B30E20"/>
    <w:rsid w:val="00B37185"/>
    <w:rsid w:val="00B47754"/>
    <w:rsid w:val="00B50B3C"/>
    <w:rsid w:val="00B52140"/>
    <w:rsid w:val="00B57730"/>
    <w:rsid w:val="00B72C60"/>
    <w:rsid w:val="00B77BF4"/>
    <w:rsid w:val="00B82BED"/>
    <w:rsid w:val="00B90257"/>
    <w:rsid w:val="00B90E17"/>
    <w:rsid w:val="00B930F1"/>
    <w:rsid w:val="00B97764"/>
    <w:rsid w:val="00B97A40"/>
    <w:rsid w:val="00BA3193"/>
    <w:rsid w:val="00BA5B59"/>
    <w:rsid w:val="00BB0F75"/>
    <w:rsid w:val="00BB4CE4"/>
    <w:rsid w:val="00BB75AC"/>
    <w:rsid w:val="00BC27F4"/>
    <w:rsid w:val="00BC5A41"/>
    <w:rsid w:val="00BC70AD"/>
    <w:rsid w:val="00BE2ADA"/>
    <w:rsid w:val="00BF5E9E"/>
    <w:rsid w:val="00C054CE"/>
    <w:rsid w:val="00C06C91"/>
    <w:rsid w:val="00C06CE7"/>
    <w:rsid w:val="00C1184F"/>
    <w:rsid w:val="00C3404A"/>
    <w:rsid w:val="00C34B2D"/>
    <w:rsid w:val="00C47C25"/>
    <w:rsid w:val="00C517A6"/>
    <w:rsid w:val="00C62A60"/>
    <w:rsid w:val="00C72781"/>
    <w:rsid w:val="00C7342A"/>
    <w:rsid w:val="00C73744"/>
    <w:rsid w:val="00C80395"/>
    <w:rsid w:val="00C84782"/>
    <w:rsid w:val="00C942FE"/>
    <w:rsid w:val="00C94DD5"/>
    <w:rsid w:val="00CA5146"/>
    <w:rsid w:val="00CC2837"/>
    <w:rsid w:val="00CC605A"/>
    <w:rsid w:val="00CC606B"/>
    <w:rsid w:val="00CD279A"/>
    <w:rsid w:val="00CD34C3"/>
    <w:rsid w:val="00CD53B7"/>
    <w:rsid w:val="00CD5729"/>
    <w:rsid w:val="00CD5A2F"/>
    <w:rsid w:val="00CD677C"/>
    <w:rsid w:val="00CE0802"/>
    <w:rsid w:val="00CE369F"/>
    <w:rsid w:val="00CF4997"/>
    <w:rsid w:val="00CF6405"/>
    <w:rsid w:val="00D029D7"/>
    <w:rsid w:val="00D046D0"/>
    <w:rsid w:val="00D061EB"/>
    <w:rsid w:val="00D06972"/>
    <w:rsid w:val="00D1206D"/>
    <w:rsid w:val="00D226F4"/>
    <w:rsid w:val="00D24C56"/>
    <w:rsid w:val="00D25059"/>
    <w:rsid w:val="00D25E7F"/>
    <w:rsid w:val="00D26C79"/>
    <w:rsid w:val="00D347E9"/>
    <w:rsid w:val="00D43008"/>
    <w:rsid w:val="00D466BF"/>
    <w:rsid w:val="00D50149"/>
    <w:rsid w:val="00D502DD"/>
    <w:rsid w:val="00D570F1"/>
    <w:rsid w:val="00D62ABB"/>
    <w:rsid w:val="00D658F1"/>
    <w:rsid w:val="00D663C1"/>
    <w:rsid w:val="00D72A24"/>
    <w:rsid w:val="00D773D7"/>
    <w:rsid w:val="00D853DE"/>
    <w:rsid w:val="00D85D8B"/>
    <w:rsid w:val="00D85FB6"/>
    <w:rsid w:val="00D86329"/>
    <w:rsid w:val="00D95D22"/>
    <w:rsid w:val="00D95DE8"/>
    <w:rsid w:val="00DA2D9A"/>
    <w:rsid w:val="00DA590F"/>
    <w:rsid w:val="00DB1EB2"/>
    <w:rsid w:val="00DB527E"/>
    <w:rsid w:val="00DB7690"/>
    <w:rsid w:val="00DC2E7E"/>
    <w:rsid w:val="00DC347E"/>
    <w:rsid w:val="00DC6DD2"/>
    <w:rsid w:val="00DD50F8"/>
    <w:rsid w:val="00DD6D33"/>
    <w:rsid w:val="00DE15CC"/>
    <w:rsid w:val="00DE74C9"/>
    <w:rsid w:val="00DF2C88"/>
    <w:rsid w:val="00DF6372"/>
    <w:rsid w:val="00E037B0"/>
    <w:rsid w:val="00E15B5A"/>
    <w:rsid w:val="00E2220F"/>
    <w:rsid w:val="00E2262D"/>
    <w:rsid w:val="00E24696"/>
    <w:rsid w:val="00E24792"/>
    <w:rsid w:val="00E25DC2"/>
    <w:rsid w:val="00E31517"/>
    <w:rsid w:val="00E35630"/>
    <w:rsid w:val="00E364C5"/>
    <w:rsid w:val="00E403F1"/>
    <w:rsid w:val="00E4611D"/>
    <w:rsid w:val="00E472F1"/>
    <w:rsid w:val="00E543CA"/>
    <w:rsid w:val="00E55E35"/>
    <w:rsid w:val="00E57612"/>
    <w:rsid w:val="00E61323"/>
    <w:rsid w:val="00E637F8"/>
    <w:rsid w:val="00E64994"/>
    <w:rsid w:val="00E6747E"/>
    <w:rsid w:val="00E74606"/>
    <w:rsid w:val="00E76CFC"/>
    <w:rsid w:val="00E80A94"/>
    <w:rsid w:val="00E82B32"/>
    <w:rsid w:val="00E85828"/>
    <w:rsid w:val="00E872E7"/>
    <w:rsid w:val="00E906CB"/>
    <w:rsid w:val="00E909C2"/>
    <w:rsid w:val="00E909FD"/>
    <w:rsid w:val="00E92620"/>
    <w:rsid w:val="00E95BD3"/>
    <w:rsid w:val="00E9741F"/>
    <w:rsid w:val="00EA15A4"/>
    <w:rsid w:val="00EA624D"/>
    <w:rsid w:val="00EB200A"/>
    <w:rsid w:val="00EB5DAF"/>
    <w:rsid w:val="00EC294F"/>
    <w:rsid w:val="00EC2F1E"/>
    <w:rsid w:val="00EC7C26"/>
    <w:rsid w:val="00ED5D32"/>
    <w:rsid w:val="00EE0D6A"/>
    <w:rsid w:val="00EE193A"/>
    <w:rsid w:val="00EE19CC"/>
    <w:rsid w:val="00EE2D66"/>
    <w:rsid w:val="00EE4345"/>
    <w:rsid w:val="00EE66F9"/>
    <w:rsid w:val="00EF023B"/>
    <w:rsid w:val="00EF2256"/>
    <w:rsid w:val="00F132D4"/>
    <w:rsid w:val="00F17D01"/>
    <w:rsid w:val="00F20B4D"/>
    <w:rsid w:val="00F22003"/>
    <w:rsid w:val="00F22CFD"/>
    <w:rsid w:val="00F24B2B"/>
    <w:rsid w:val="00F3408F"/>
    <w:rsid w:val="00F356C5"/>
    <w:rsid w:val="00F35FBD"/>
    <w:rsid w:val="00F361EA"/>
    <w:rsid w:val="00F36EA9"/>
    <w:rsid w:val="00F54144"/>
    <w:rsid w:val="00F55DE5"/>
    <w:rsid w:val="00F64087"/>
    <w:rsid w:val="00F652F2"/>
    <w:rsid w:val="00F6794B"/>
    <w:rsid w:val="00F7248E"/>
    <w:rsid w:val="00F8080C"/>
    <w:rsid w:val="00F82556"/>
    <w:rsid w:val="00F91CF0"/>
    <w:rsid w:val="00FA35E0"/>
    <w:rsid w:val="00FA45AA"/>
    <w:rsid w:val="00FA494E"/>
    <w:rsid w:val="00FB242D"/>
    <w:rsid w:val="00FB2738"/>
    <w:rsid w:val="00FB2F5B"/>
    <w:rsid w:val="00FB30FF"/>
    <w:rsid w:val="00FB4BD3"/>
    <w:rsid w:val="00FB6FE1"/>
    <w:rsid w:val="00FC08FB"/>
    <w:rsid w:val="00FC51DF"/>
    <w:rsid w:val="00FD0894"/>
    <w:rsid w:val="00FE68FD"/>
    <w:rsid w:val="00FE7078"/>
    <w:rsid w:val="00FF1C02"/>
    <w:rsid w:val="00FF5C5A"/>
    <w:rsid w:val="00FF627A"/>
    <w:rsid w:val="00FF6976"/>
    <w:rsid w:val="22541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99"/>
    <w:rPr>
      <w:b/>
      <w:bCs/>
    </w:rPr>
  </w:style>
  <w:style w:type="character" w:styleId="7">
    <w:name w:val="Hyperlink"/>
    <w:uiPriority w:val="99"/>
    <w:rPr>
      <w:color w:val="auto"/>
      <w:u w:val="none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Char Char Char Char"/>
    <w:basedOn w:val="1"/>
    <w:uiPriority w:val="99"/>
    <w:rPr>
      <w:rFonts w:ascii="Tahoma" w:hAnsi="Tahoma" w:cs="Tahoma"/>
      <w:sz w:val="24"/>
      <w:szCs w:val="24"/>
    </w:rPr>
  </w:style>
  <w:style w:type="character" w:customStyle="1" w:styleId="11">
    <w:name w:val="页眉 Char"/>
    <w:link w:val="4"/>
    <w:locked/>
    <w:uiPriority w:val="99"/>
    <w:rPr>
      <w:sz w:val="18"/>
      <w:szCs w:val="18"/>
    </w:rPr>
  </w:style>
  <w:style w:type="character" w:customStyle="1" w:styleId="12">
    <w:name w:val="页脚 Char"/>
    <w:link w:val="3"/>
    <w:locked/>
    <w:uiPriority w:val="99"/>
    <w:rPr>
      <w:sz w:val="18"/>
      <w:szCs w:val="18"/>
    </w:rPr>
  </w:style>
  <w:style w:type="character" w:customStyle="1" w:styleId="13">
    <w:name w:val="日期 Char"/>
    <w:basedOn w:val="5"/>
    <w:link w:val="2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589</Characters>
  <Lines>4</Lines>
  <Paragraphs>1</Paragraphs>
  <TotalTime>0</TotalTime>
  <ScaleCrop>false</ScaleCrop>
  <LinksUpToDate>false</LinksUpToDate>
  <CharactersWithSpaces>691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2018-09-29T02:38:00Z</dcterms:created>
  <dc:creator>lenovo</dc:creator>
  <cp:lastModifiedBy>做个坏人</cp:lastModifiedBy>
  <cp:lastPrinted>2018-10-08T00:17:00Z</cp:lastPrinted>
  <dcterms:modified xsi:type="dcterms:W3CDTF">2018-10-12T01:06:16Z</dcterms:modified>
  <dc:title>关于2019年度招收海军飞行学员的通知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