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小标宋" w:hAnsi="Calibri" w:eastAsia="小标宋" w:cs="仿宋"/>
          <w:kern w:val="0"/>
          <w:sz w:val="44"/>
          <w:szCs w:val="44"/>
          <w:lang w:val="zh-CN"/>
        </w:rPr>
      </w:pPr>
      <w:r>
        <w:rPr>
          <w:rFonts w:hint="eastAsia" w:ascii="小标宋" w:eastAsia="小标宋" w:cs="宋体"/>
          <w:bCs/>
          <w:kern w:val="0"/>
          <w:sz w:val="44"/>
          <w:szCs w:val="44"/>
          <w:lang w:val="zh-CN"/>
        </w:rPr>
        <w:t>宁夏师</w:t>
      </w:r>
      <w:bookmarkStart w:id="0" w:name="_GoBack"/>
      <w:bookmarkEnd w:id="0"/>
      <w:r>
        <w:rPr>
          <w:rFonts w:hint="eastAsia" w:ascii="小标宋" w:eastAsia="小标宋" w:cs="宋体"/>
          <w:bCs/>
          <w:kern w:val="0"/>
          <w:sz w:val="44"/>
          <w:szCs w:val="44"/>
          <w:lang w:val="zh-CN"/>
        </w:rPr>
        <w:t>范学院人才引进管理办法</w:t>
      </w:r>
      <w:r>
        <w:rPr>
          <w:rFonts w:hint="eastAsia" w:ascii="小标宋" w:hAnsi="Calibri" w:eastAsia="小标宋" w:cs="Calibri"/>
          <w:bCs/>
          <w:kern w:val="0"/>
          <w:sz w:val="44"/>
          <w:szCs w:val="44"/>
        </w:rPr>
        <w:t>(</w:t>
      </w:r>
      <w:r>
        <w:rPr>
          <w:rFonts w:hint="eastAsia" w:ascii="小标宋" w:hAnsi="Calibri" w:eastAsia="小标宋" w:cs="宋体"/>
          <w:bCs/>
          <w:kern w:val="0"/>
          <w:sz w:val="44"/>
          <w:szCs w:val="44"/>
          <w:lang w:val="zh-CN"/>
        </w:rPr>
        <w:t>试行</w:t>
      </w:r>
      <w:r>
        <w:rPr>
          <w:rFonts w:hint="eastAsia" w:ascii="小标宋" w:hAnsi="Calibri" w:eastAsia="小标宋" w:cs="Calibri"/>
          <w:bCs/>
          <w:kern w:val="0"/>
          <w:sz w:val="44"/>
          <w:szCs w:val="44"/>
        </w:rPr>
        <w:t>)</w:t>
      </w:r>
    </w:p>
    <w:p>
      <w:pPr>
        <w:autoSpaceDE w:val="0"/>
        <w:autoSpaceDN w:val="0"/>
        <w:adjustRightInd w:val="0"/>
        <w:jc w:val="center"/>
        <w:rPr>
          <w:rFonts w:hint="eastAsia" w:ascii="Arial Unicode MS" w:hAnsi="Arial Unicode MS" w:eastAsia="Arial Unicode MS" w:cs="Arial Unicode MS"/>
          <w:b/>
          <w:bCs/>
          <w:kern w:val="0"/>
          <w:sz w:val="32"/>
          <w:szCs w:val="32"/>
          <w:lang w:val="zh-CN"/>
        </w:rPr>
      </w:pPr>
      <w:r>
        <w:rPr>
          <w:rFonts w:hint="eastAsia" w:ascii="仿宋_GB2312" w:hAnsi="Calibri" w:eastAsia="仿宋_GB2312" w:cs="仿宋"/>
          <w:b/>
          <w:bCs/>
          <w:kern w:val="0"/>
          <w:sz w:val="32"/>
          <w:szCs w:val="32"/>
          <w:lang w:val="zh-CN"/>
        </w:rPr>
        <w:t>院党发</w:t>
      </w:r>
      <w:r>
        <w:rPr>
          <w:rFonts w:hint="eastAsia" w:ascii="Arial Unicode MS" w:hAnsi="Arial Unicode MS" w:eastAsia="Arial Unicode MS" w:cs="Arial Unicode MS"/>
          <w:b/>
          <w:bCs/>
          <w:kern w:val="0"/>
          <w:sz w:val="32"/>
          <w:szCs w:val="32"/>
          <w:lang w:val="zh-CN"/>
        </w:rPr>
        <w:t>【2017】52号</w:t>
      </w:r>
    </w:p>
    <w:p>
      <w:pPr>
        <w:autoSpaceDE w:val="0"/>
        <w:autoSpaceDN w:val="0"/>
        <w:adjustRightInd w:val="0"/>
        <w:jc w:val="center"/>
        <w:rPr>
          <w:rFonts w:hint="eastAsia" w:ascii="仿宋_GB2312" w:hAnsi="Calibri" w:eastAsia="仿宋_GB2312" w:cs="仿宋"/>
          <w:b/>
          <w:bCs/>
          <w:kern w:val="0"/>
          <w:sz w:val="32"/>
          <w:szCs w:val="32"/>
          <w:lang w:val="zh-CN"/>
        </w:rPr>
      </w:pPr>
      <w:r>
        <w:rPr>
          <w:rFonts w:hint="eastAsia" w:ascii="Arial Unicode MS" w:hAnsi="Arial Unicode MS" w:eastAsia="Arial Unicode MS" w:cs="Arial Unicode MS"/>
          <w:b/>
          <w:bCs/>
          <w:kern w:val="0"/>
          <w:sz w:val="32"/>
          <w:szCs w:val="32"/>
          <w:lang w:val="zh-CN"/>
        </w:rPr>
        <w:t>二〇一七年六月二日</w:t>
      </w:r>
    </w:p>
    <w:p>
      <w:pPr>
        <w:autoSpaceDE w:val="0"/>
        <w:autoSpaceDN w:val="0"/>
        <w:adjustRightInd w:val="0"/>
        <w:spacing w:after="156" w:afterLines="50" w:line="560" w:lineRule="exact"/>
        <w:jc w:val="center"/>
        <w:rPr>
          <w:rFonts w:hint="eastAsia" w:ascii="仿宋_GB2312" w:hAnsi="Calibri" w:eastAsia="仿宋_GB2312" w:cs="仿宋"/>
          <w:kern w:val="0"/>
          <w:sz w:val="32"/>
          <w:szCs w:val="32"/>
          <w:lang w:val="zh-CN"/>
        </w:rPr>
      </w:pPr>
      <w:r>
        <w:rPr>
          <w:rFonts w:hint="eastAsia" w:ascii="仿宋_GB2312" w:hAnsi="Calibri" w:eastAsia="仿宋_GB2312" w:cs="仿宋"/>
          <w:b/>
          <w:bCs/>
          <w:color w:val="333333"/>
          <w:kern w:val="0"/>
          <w:sz w:val="32"/>
          <w:szCs w:val="32"/>
          <w:lang w:val="zh-CN"/>
        </w:rPr>
        <w:t>第一章</w:t>
      </w:r>
      <w:r>
        <w:rPr>
          <w:rFonts w:hint="eastAsia" w:ascii="仿宋_GB2312" w:hAnsi="Calibri" w:eastAsia="仿宋_GB2312" w:cs="宋体"/>
          <w:color w:val="333333"/>
          <w:kern w:val="0"/>
          <w:sz w:val="32"/>
          <w:szCs w:val="32"/>
          <w:lang w:val="zh-CN"/>
        </w:rPr>
        <w:t xml:space="preserve">  </w:t>
      </w:r>
      <w:r>
        <w:rPr>
          <w:rFonts w:hint="eastAsia" w:ascii="仿宋_GB2312" w:hAnsi="Calibri" w:eastAsia="仿宋_GB2312" w:cs="仿宋"/>
          <w:color w:val="333333"/>
          <w:kern w:val="0"/>
          <w:sz w:val="32"/>
          <w:szCs w:val="32"/>
          <w:lang w:val="zh-CN"/>
        </w:rPr>
        <w:t>总</w:t>
      </w:r>
      <w:r>
        <w:rPr>
          <w:rFonts w:hint="eastAsia" w:ascii="仿宋_GB2312" w:hAnsi="Calibri" w:eastAsia="仿宋_GB2312" w:cs="宋体"/>
          <w:color w:val="333333"/>
          <w:kern w:val="0"/>
          <w:sz w:val="32"/>
          <w:szCs w:val="32"/>
          <w:lang w:val="zh-CN"/>
        </w:rPr>
        <w:t>  </w:t>
      </w:r>
      <w:r>
        <w:rPr>
          <w:rFonts w:hint="eastAsia" w:ascii="仿宋_GB2312" w:hAnsi="Calibri" w:eastAsia="仿宋_GB2312" w:cs="仿宋"/>
          <w:color w:val="333333"/>
          <w:kern w:val="0"/>
          <w:sz w:val="32"/>
          <w:szCs w:val="32"/>
          <w:lang w:val="zh-CN"/>
        </w:rPr>
        <w:t>则</w:t>
      </w:r>
    </w:p>
    <w:p>
      <w:pPr>
        <w:autoSpaceDE w:val="0"/>
        <w:autoSpaceDN w:val="0"/>
        <w:adjustRightInd w:val="0"/>
        <w:spacing w:line="540" w:lineRule="exact"/>
        <w:ind w:firstLine="643"/>
        <w:rPr>
          <w:rFonts w:hint="eastAsia" w:ascii="仿宋_GB2312" w:hAnsi="Calibri" w:eastAsia="仿宋_GB2312" w:cs="仿宋"/>
          <w:kern w:val="0"/>
          <w:sz w:val="32"/>
          <w:szCs w:val="32"/>
          <w:lang w:val="zh-CN"/>
        </w:rPr>
      </w:pPr>
      <w:r>
        <w:rPr>
          <w:rFonts w:hint="eastAsia" w:ascii="仿宋_GB2312" w:hAnsi="Calibri" w:eastAsia="仿宋_GB2312" w:cs="仿宋"/>
          <w:b/>
          <w:bCs/>
          <w:color w:val="333333"/>
          <w:kern w:val="0"/>
          <w:sz w:val="32"/>
          <w:szCs w:val="32"/>
          <w:lang w:val="zh-CN"/>
        </w:rPr>
        <w:t>第一条</w:t>
      </w:r>
      <w:r>
        <w:rPr>
          <w:rFonts w:hint="eastAsia" w:ascii="仿宋_GB2312" w:hAnsi="Calibri" w:eastAsia="仿宋_GB2312" w:cs="宋体"/>
          <w:color w:val="333333"/>
          <w:kern w:val="0"/>
          <w:sz w:val="32"/>
          <w:szCs w:val="32"/>
          <w:lang w:val="zh-CN"/>
        </w:rPr>
        <w:t xml:space="preserve">  </w:t>
      </w:r>
      <w:r>
        <w:rPr>
          <w:rFonts w:hint="eastAsia" w:ascii="仿宋_GB2312" w:hAnsi="Calibri" w:eastAsia="仿宋_GB2312" w:cs="仿宋"/>
          <w:color w:val="333333"/>
          <w:kern w:val="0"/>
          <w:sz w:val="32"/>
          <w:szCs w:val="32"/>
          <w:lang w:val="zh-CN"/>
        </w:rPr>
        <w:t>为落实人才强校战略，加快学校转型发展，进一步提高教育教学质量、科学研究水平、服务地方能力及学校竞争力，结合师资队伍现状及学科专业建设需求，根据学校“十三五”发展规划，特制定本办法。</w:t>
      </w:r>
    </w:p>
    <w:p>
      <w:pPr>
        <w:autoSpaceDE w:val="0"/>
        <w:autoSpaceDN w:val="0"/>
        <w:adjustRightInd w:val="0"/>
        <w:spacing w:line="540" w:lineRule="exact"/>
        <w:ind w:firstLine="643"/>
        <w:rPr>
          <w:rFonts w:hint="eastAsia" w:ascii="仿宋_GB2312" w:hAnsi="Calibri" w:eastAsia="仿宋_GB2312" w:cs="仿宋"/>
          <w:kern w:val="0"/>
          <w:sz w:val="32"/>
          <w:szCs w:val="32"/>
          <w:lang w:val="zh-CN"/>
        </w:rPr>
      </w:pPr>
      <w:r>
        <w:rPr>
          <w:rFonts w:hint="eastAsia" w:ascii="仿宋_GB2312" w:hAnsi="Calibri" w:eastAsia="仿宋_GB2312" w:cs="仿宋"/>
          <w:b/>
          <w:bCs/>
          <w:color w:val="333333"/>
          <w:kern w:val="0"/>
          <w:sz w:val="32"/>
          <w:szCs w:val="32"/>
          <w:lang w:val="zh-CN"/>
        </w:rPr>
        <w:t xml:space="preserve">第二条 </w:t>
      </w:r>
      <w:r>
        <w:rPr>
          <w:rFonts w:hint="eastAsia" w:ascii="仿宋_GB2312" w:hAnsi="Calibri" w:eastAsia="仿宋_GB2312" w:cs="宋体"/>
          <w:color w:val="333333"/>
          <w:kern w:val="0"/>
          <w:sz w:val="32"/>
          <w:szCs w:val="32"/>
          <w:lang w:val="zh-CN"/>
        </w:rPr>
        <w:t> </w:t>
      </w:r>
      <w:r>
        <w:rPr>
          <w:rFonts w:hint="eastAsia" w:ascii="仿宋_GB2312" w:hAnsi="Calibri" w:eastAsia="仿宋_GB2312" w:cs="仿宋"/>
          <w:color w:val="333333"/>
          <w:kern w:val="0"/>
          <w:sz w:val="32"/>
          <w:szCs w:val="32"/>
          <w:lang w:val="zh-CN"/>
        </w:rPr>
        <w:t>人才引进坚持人才引进与学科建设相结合、个体引进与团队引进相结合、按需设岗与“因人设岗”相结合、柔性引进与特岗聘用相结合、科研与教学兼顾的原则。</w:t>
      </w:r>
    </w:p>
    <w:p>
      <w:pPr>
        <w:autoSpaceDE w:val="0"/>
        <w:autoSpaceDN w:val="0"/>
        <w:adjustRightInd w:val="0"/>
        <w:spacing w:line="540" w:lineRule="exact"/>
        <w:ind w:firstLine="643"/>
        <w:rPr>
          <w:rFonts w:hint="eastAsia" w:ascii="仿宋_GB2312" w:hAnsi="Calibri" w:eastAsia="仿宋_GB2312" w:cs="仿宋"/>
          <w:kern w:val="0"/>
          <w:sz w:val="32"/>
          <w:szCs w:val="32"/>
          <w:lang w:val="zh-CN"/>
        </w:rPr>
      </w:pPr>
      <w:r>
        <w:rPr>
          <w:rFonts w:hint="eastAsia" w:ascii="仿宋_GB2312" w:hAnsi="Calibri" w:eastAsia="仿宋_GB2312" w:cs="仿宋"/>
          <w:b/>
          <w:bCs/>
          <w:color w:val="333333"/>
          <w:kern w:val="0"/>
          <w:sz w:val="32"/>
          <w:szCs w:val="32"/>
          <w:lang w:val="zh-CN"/>
        </w:rPr>
        <w:t xml:space="preserve">第三条 </w:t>
      </w:r>
      <w:r>
        <w:rPr>
          <w:rFonts w:hint="eastAsia" w:ascii="仿宋_GB2312" w:hAnsi="Calibri" w:eastAsia="仿宋_GB2312" w:cs="宋体"/>
          <w:color w:val="333333"/>
          <w:kern w:val="0"/>
          <w:sz w:val="32"/>
          <w:szCs w:val="32"/>
          <w:lang w:val="zh-CN"/>
        </w:rPr>
        <w:t> </w:t>
      </w:r>
      <w:r>
        <w:rPr>
          <w:rFonts w:hint="eastAsia" w:ascii="仿宋_GB2312" w:hAnsi="Calibri" w:eastAsia="仿宋_GB2312" w:cs="仿宋"/>
          <w:color w:val="333333"/>
          <w:kern w:val="0"/>
          <w:sz w:val="32"/>
          <w:szCs w:val="32"/>
          <w:lang w:val="zh-CN"/>
        </w:rPr>
        <w:t>人才引进须公开招聘、坚持标准、严格考核、择优聘用，要规范管理，注重实效，确保质量。</w:t>
      </w:r>
    </w:p>
    <w:p>
      <w:pPr>
        <w:autoSpaceDE w:val="0"/>
        <w:autoSpaceDN w:val="0"/>
        <w:adjustRightInd w:val="0"/>
        <w:spacing w:before="312" w:beforeLines="100" w:after="156" w:afterLines="50" w:line="540" w:lineRule="exact"/>
        <w:jc w:val="center"/>
        <w:rPr>
          <w:rFonts w:hint="eastAsia" w:ascii="仿宋_GB2312" w:hAnsi="黑体" w:eastAsia="仿宋_GB2312" w:cs="仿宋"/>
          <w:color w:val="333333"/>
          <w:kern w:val="0"/>
          <w:sz w:val="32"/>
          <w:szCs w:val="32"/>
          <w:lang w:val="zh-CN"/>
        </w:rPr>
      </w:pPr>
      <w:r>
        <w:rPr>
          <w:rFonts w:hint="eastAsia" w:ascii="仿宋_GB2312" w:hAnsi="黑体" w:eastAsia="仿宋_GB2312" w:cs="仿宋"/>
          <w:b/>
          <w:bCs/>
          <w:color w:val="333333"/>
          <w:kern w:val="0"/>
          <w:sz w:val="32"/>
          <w:szCs w:val="32"/>
          <w:lang w:val="zh-CN"/>
        </w:rPr>
        <w:t>第二章</w:t>
      </w:r>
      <w:r>
        <w:rPr>
          <w:rFonts w:hint="eastAsia" w:ascii="仿宋_GB2312" w:hAnsi="Calibri" w:eastAsia="仿宋_GB2312" w:cs="仿宋"/>
          <w:color w:val="333333"/>
          <w:kern w:val="0"/>
          <w:sz w:val="32"/>
          <w:szCs w:val="32"/>
          <w:lang w:val="zh-CN"/>
        </w:rPr>
        <w:t xml:space="preserve">   </w:t>
      </w:r>
      <w:r>
        <w:rPr>
          <w:rFonts w:hint="eastAsia" w:ascii="仿宋_GB2312" w:hAnsi="黑体" w:eastAsia="仿宋_GB2312" w:cs="仿宋"/>
          <w:color w:val="333333"/>
          <w:kern w:val="0"/>
          <w:sz w:val="32"/>
          <w:szCs w:val="32"/>
          <w:lang w:val="zh-CN"/>
        </w:rPr>
        <w:t>引进条件、层次和待遇</w:t>
      </w:r>
    </w:p>
    <w:p>
      <w:pPr>
        <w:autoSpaceDE w:val="0"/>
        <w:autoSpaceDN w:val="0"/>
        <w:adjustRightInd w:val="0"/>
        <w:spacing w:line="540" w:lineRule="exact"/>
        <w:ind w:firstLine="643"/>
        <w:rPr>
          <w:rFonts w:hint="eastAsia" w:ascii="仿宋_GB2312" w:hAnsi="Calibri" w:eastAsia="仿宋_GB2312" w:cs="仿宋"/>
          <w:color w:val="333333"/>
          <w:kern w:val="0"/>
          <w:sz w:val="32"/>
          <w:szCs w:val="32"/>
          <w:lang w:val="zh-CN"/>
        </w:rPr>
      </w:pPr>
      <w:r>
        <w:rPr>
          <w:rFonts w:hint="eastAsia" w:ascii="仿宋_GB2312" w:hAnsi="Calibri" w:eastAsia="仿宋_GB2312" w:cs="仿宋"/>
          <w:b/>
          <w:bCs/>
          <w:color w:val="333333"/>
          <w:kern w:val="0"/>
          <w:sz w:val="32"/>
          <w:szCs w:val="32"/>
          <w:lang w:val="zh-CN"/>
        </w:rPr>
        <w:t xml:space="preserve">第四条  </w:t>
      </w:r>
      <w:r>
        <w:rPr>
          <w:rFonts w:hint="eastAsia" w:ascii="仿宋_GB2312" w:hAnsi="Calibri" w:eastAsia="仿宋_GB2312" w:cs="宋体"/>
          <w:color w:val="333333"/>
          <w:kern w:val="0"/>
          <w:sz w:val="32"/>
          <w:szCs w:val="32"/>
          <w:lang w:val="zh-CN"/>
        </w:rPr>
        <w:t> </w:t>
      </w:r>
      <w:r>
        <w:rPr>
          <w:rFonts w:hint="eastAsia" w:ascii="仿宋_GB2312" w:hAnsi="Calibri" w:eastAsia="仿宋_GB2312" w:cs="仿宋"/>
          <w:color w:val="333333"/>
          <w:kern w:val="0"/>
          <w:sz w:val="32"/>
          <w:szCs w:val="32"/>
          <w:lang w:val="zh-CN"/>
        </w:rPr>
        <w:t>引进人才的基本条件：热爱教育事业，具有良好的职业道德，遵纪守法，作风正派；治学严谨，在本学科领域内具有坚实的理论基础、较宽的学术视野和较深的学术造诣，具备一定创新能力，能够承担学校规定的教学科研任务；具有较强的合作意识和沟通协调能力。</w:t>
      </w:r>
    </w:p>
    <w:p>
      <w:pPr>
        <w:autoSpaceDE w:val="0"/>
        <w:autoSpaceDN w:val="0"/>
        <w:adjustRightInd w:val="0"/>
        <w:spacing w:line="540" w:lineRule="exact"/>
        <w:ind w:firstLine="643"/>
        <w:rPr>
          <w:rFonts w:hint="eastAsia" w:ascii="仿宋_GB2312" w:hAnsi="Calibri" w:eastAsia="仿宋_GB2312" w:cs="仿宋"/>
          <w:kern w:val="0"/>
          <w:sz w:val="32"/>
          <w:szCs w:val="32"/>
          <w:lang w:val="zh-CN"/>
        </w:rPr>
      </w:pPr>
      <w:r>
        <w:rPr>
          <w:rFonts w:hint="eastAsia" w:ascii="仿宋_GB2312" w:hAnsi="Calibri" w:eastAsia="仿宋_GB2312" w:cs="仿宋"/>
          <w:b/>
          <w:bCs/>
          <w:color w:val="333333"/>
          <w:kern w:val="0"/>
          <w:sz w:val="32"/>
          <w:szCs w:val="32"/>
          <w:lang w:val="zh-CN"/>
        </w:rPr>
        <w:t xml:space="preserve">第五条  </w:t>
      </w:r>
      <w:r>
        <w:rPr>
          <w:rFonts w:hint="eastAsia" w:ascii="仿宋_GB2312" w:hAnsi="Calibri" w:eastAsia="仿宋_GB2312" w:cs="宋体"/>
          <w:color w:val="333333"/>
          <w:kern w:val="0"/>
          <w:sz w:val="32"/>
          <w:szCs w:val="32"/>
          <w:lang w:val="zh-CN"/>
        </w:rPr>
        <w:t> </w:t>
      </w:r>
      <w:r>
        <w:rPr>
          <w:rFonts w:hint="eastAsia" w:ascii="仿宋_GB2312" w:hAnsi="Calibri" w:eastAsia="仿宋_GB2312" w:cs="仿宋"/>
          <w:color w:val="333333"/>
          <w:kern w:val="0"/>
          <w:sz w:val="32"/>
          <w:szCs w:val="32"/>
          <w:lang w:val="zh-CN"/>
        </w:rPr>
        <w:t>引进范围和条件</w:t>
      </w:r>
    </w:p>
    <w:p>
      <w:pPr>
        <w:autoSpaceDE w:val="0"/>
        <w:autoSpaceDN w:val="0"/>
        <w:adjustRightInd w:val="0"/>
        <w:spacing w:line="540" w:lineRule="exact"/>
        <w:ind w:firstLine="640"/>
        <w:rPr>
          <w:rFonts w:hint="eastAsia" w:ascii="仿宋_GB2312" w:hAnsi="黑体" w:eastAsia="仿宋_GB2312" w:cs="仿宋"/>
          <w:color w:val="333333"/>
          <w:kern w:val="0"/>
          <w:sz w:val="32"/>
          <w:szCs w:val="32"/>
          <w:lang w:val="zh-CN"/>
        </w:rPr>
      </w:pPr>
      <w:r>
        <w:rPr>
          <w:rFonts w:hint="eastAsia" w:ascii="仿宋_GB2312" w:hAnsi="黑体" w:eastAsia="仿宋_GB2312" w:cs="仿宋"/>
          <w:color w:val="333333"/>
          <w:kern w:val="0"/>
          <w:sz w:val="32"/>
          <w:szCs w:val="32"/>
          <w:lang w:val="zh-CN"/>
        </w:rPr>
        <w:t>一、杰出人才</w:t>
      </w:r>
    </w:p>
    <w:p>
      <w:pPr>
        <w:autoSpaceDE w:val="0"/>
        <w:autoSpaceDN w:val="0"/>
        <w:adjustRightInd w:val="0"/>
        <w:spacing w:line="540" w:lineRule="exact"/>
        <w:ind w:firstLine="640"/>
        <w:rPr>
          <w:rFonts w:hint="eastAsia" w:ascii="仿宋_GB2312" w:hAnsi="Calibri" w:eastAsia="仿宋_GB2312" w:cs="仿宋"/>
          <w:color w:val="333333"/>
          <w:kern w:val="0"/>
          <w:sz w:val="32"/>
          <w:szCs w:val="32"/>
          <w:lang w:val="zh-CN"/>
        </w:rPr>
      </w:pPr>
      <w:r>
        <w:rPr>
          <w:rFonts w:hint="eastAsia" w:ascii="仿宋_GB2312" w:hAnsi="Calibri" w:eastAsia="仿宋_GB2312" w:cs="仿宋"/>
          <w:color w:val="333333"/>
          <w:kern w:val="0"/>
          <w:sz w:val="32"/>
          <w:szCs w:val="32"/>
          <w:lang w:val="zh-CN"/>
        </w:rPr>
        <w:t>中国科学院院士、中国工程院院士；国（境）外院士；国家自然科学奖一等奖获得者（主持人）、国家技术发明奖一等奖获得者（主持人）、国家科技进步奖一等奖获得者（主持人）；国家级教学成果特等奖获得者（主持人）；其他经学校综合认定达到杰出人才标准的杰出人才。</w:t>
      </w:r>
    </w:p>
    <w:p>
      <w:pPr>
        <w:autoSpaceDE w:val="0"/>
        <w:autoSpaceDN w:val="0"/>
        <w:adjustRightInd w:val="0"/>
        <w:spacing w:line="540" w:lineRule="exact"/>
        <w:ind w:firstLine="640"/>
        <w:rPr>
          <w:rFonts w:hint="eastAsia" w:ascii="仿宋_GB2312" w:hAnsi="Calibri" w:eastAsia="仿宋_GB2312" w:cs="仿宋"/>
          <w:color w:val="333333"/>
          <w:kern w:val="0"/>
          <w:sz w:val="32"/>
          <w:szCs w:val="32"/>
          <w:lang w:val="zh-CN"/>
        </w:rPr>
      </w:pPr>
      <w:r>
        <w:rPr>
          <w:rFonts w:hint="eastAsia" w:ascii="仿宋_GB2312" w:hAnsi="Calibri" w:eastAsia="仿宋_GB2312" w:cs="仿宋"/>
          <w:color w:val="333333"/>
          <w:kern w:val="0"/>
          <w:sz w:val="32"/>
          <w:szCs w:val="32"/>
          <w:lang w:val="zh-CN"/>
        </w:rPr>
        <w:t>二、领军人才</w:t>
      </w:r>
    </w:p>
    <w:p>
      <w:pPr>
        <w:autoSpaceDE w:val="0"/>
        <w:autoSpaceDN w:val="0"/>
        <w:adjustRightInd w:val="0"/>
        <w:spacing w:line="540" w:lineRule="exact"/>
        <w:ind w:firstLine="640"/>
        <w:rPr>
          <w:rFonts w:hint="eastAsia" w:ascii="仿宋_GB2312" w:hAnsi="Calibri" w:eastAsia="仿宋_GB2312" w:cs="仿宋"/>
          <w:color w:val="333333"/>
          <w:kern w:val="0"/>
          <w:sz w:val="32"/>
          <w:szCs w:val="32"/>
          <w:lang w:val="zh-CN"/>
        </w:rPr>
      </w:pPr>
      <w:r>
        <w:rPr>
          <w:rFonts w:hint="eastAsia" w:ascii="仿宋_GB2312" w:hAnsi="Calibri" w:eastAsia="仿宋_GB2312" w:cs="仿宋"/>
          <w:color w:val="333333"/>
          <w:kern w:val="0"/>
          <w:sz w:val="32"/>
          <w:szCs w:val="32"/>
          <w:lang w:val="zh-CN"/>
        </w:rPr>
        <w:t>教育部“长江学者奖励计划”特聘教授或讲座教授；“国家杰出青年科学基金”获得者；国家“千人计划”专家、国家“万人计划”一、二层次人选；国家自然科学奖二等奖获得者（主持人）；国家技术发明奖二等奖获得者（主持人）；国家科技进步奖二等奖获得者（主持人）；国家级教学成果一等奖获得者（主持人）；海外著名大学教授；其他经学校综合认定达到领军人才标准的领军人才。以上人员年龄一般不超过55周岁。</w:t>
      </w:r>
    </w:p>
    <w:p>
      <w:pPr>
        <w:autoSpaceDE w:val="0"/>
        <w:autoSpaceDN w:val="0"/>
        <w:adjustRightInd w:val="0"/>
        <w:spacing w:line="540" w:lineRule="exact"/>
        <w:ind w:firstLine="640"/>
        <w:rPr>
          <w:rFonts w:hint="eastAsia" w:ascii="仿宋_GB2312" w:hAnsi="Calibri" w:eastAsia="仿宋_GB2312" w:cs="仿宋"/>
          <w:color w:val="333333"/>
          <w:kern w:val="0"/>
          <w:sz w:val="32"/>
          <w:szCs w:val="32"/>
          <w:lang w:val="zh-CN"/>
        </w:rPr>
      </w:pPr>
      <w:r>
        <w:rPr>
          <w:rFonts w:hint="eastAsia" w:ascii="仿宋_GB2312" w:hAnsi="Calibri" w:eastAsia="仿宋_GB2312" w:cs="仿宋"/>
          <w:color w:val="333333"/>
          <w:kern w:val="0"/>
          <w:sz w:val="32"/>
          <w:szCs w:val="32"/>
          <w:lang w:val="zh-CN"/>
        </w:rPr>
        <w:t>三、拔尖人才</w:t>
      </w:r>
    </w:p>
    <w:p>
      <w:pPr>
        <w:autoSpaceDE w:val="0"/>
        <w:autoSpaceDN w:val="0"/>
        <w:adjustRightInd w:val="0"/>
        <w:spacing w:line="540" w:lineRule="exact"/>
        <w:ind w:firstLine="640"/>
        <w:rPr>
          <w:rFonts w:hint="eastAsia" w:ascii="仿宋_GB2312" w:hAnsi="Calibri" w:eastAsia="仿宋_GB2312" w:cs="仿宋"/>
          <w:color w:val="333333"/>
          <w:kern w:val="0"/>
          <w:sz w:val="32"/>
          <w:szCs w:val="32"/>
          <w:lang w:val="zh-CN"/>
        </w:rPr>
      </w:pPr>
      <w:r>
        <w:rPr>
          <w:rFonts w:hint="eastAsia" w:ascii="仿宋_GB2312" w:hAnsi="Calibri" w:eastAsia="仿宋_GB2312" w:cs="仿宋"/>
          <w:color w:val="333333"/>
          <w:kern w:val="0"/>
          <w:sz w:val="32"/>
          <w:szCs w:val="32"/>
          <w:lang w:val="zh-CN"/>
        </w:rPr>
        <w:t>“百千万人才工程”国家级人选、国家有突出贡献的中青年专家；“国家优秀青年科学基金”获得者；国家“青年千人计划”入选者；国家“万人计划”第三层次人选；教育部“长江学者奖励计划”青年学者；国家级教学成果二等奖获得者（主持人）；国家级或国基金重大、重点项目主持人；海外著名大学副教授；其他经学校综合认定达到拔尖人才标准的拔尖人才。以上人员年龄一般不超过50周岁。</w:t>
      </w:r>
    </w:p>
    <w:p>
      <w:pPr>
        <w:autoSpaceDE w:val="0"/>
        <w:autoSpaceDN w:val="0"/>
        <w:adjustRightInd w:val="0"/>
        <w:spacing w:line="540" w:lineRule="exact"/>
        <w:ind w:firstLine="640"/>
        <w:rPr>
          <w:rFonts w:hint="eastAsia" w:ascii="仿宋_GB2312" w:hAnsi="Calibri" w:eastAsia="仿宋_GB2312" w:cs="仿宋"/>
          <w:color w:val="333333"/>
          <w:kern w:val="0"/>
          <w:sz w:val="32"/>
          <w:szCs w:val="32"/>
          <w:lang w:val="zh-CN"/>
        </w:rPr>
      </w:pPr>
      <w:r>
        <w:rPr>
          <w:rFonts w:hint="eastAsia" w:ascii="仿宋_GB2312" w:hAnsi="Calibri" w:eastAsia="仿宋_GB2312" w:cs="仿宋"/>
          <w:color w:val="333333"/>
          <w:kern w:val="0"/>
          <w:sz w:val="32"/>
          <w:szCs w:val="32"/>
          <w:lang w:val="zh-CN"/>
        </w:rPr>
        <w:t>四、青年优秀人才</w:t>
      </w:r>
    </w:p>
    <w:p>
      <w:pPr>
        <w:autoSpaceDE w:val="0"/>
        <w:autoSpaceDN w:val="0"/>
        <w:adjustRightInd w:val="0"/>
        <w:spacing w:line="540" w:lineRule="exact"/>
        <w:rPr>
          <w:rFonts w:hint="eastAsia" w:ascii="仿宋_GB2312" w:hAnsi="Calibri" w:eastAsia="仿宋_GB2312" w:cs="仿宋"/>
          <w:color w:val="333333"/>
          <w:kern w:val="0"/>
          <w:sz w:val="32"/>
          <w:szCs w:val="32"/>
          <w:lang w:val="zh-CN"/>
        </w:rPr>
      </w:pPr>
      <w:r>
        <w:rPr>
          <w:rFonts w:hint="eastAsia" w:ascii="仿宋_GB2312" w:hAnsi="Calibri" w:eastAsia="仿宋_GB2312" w:cs="仿宋"/>
          <w:color w:val="333333"/>
          <w:kern w:val="0"/>
          <w:sz w:val="32"/>
          <w:szCs w:val="32"/>
          <w:lang w:val="zh-CN"/>
        </w:rPr>
        <w:t xml:space="preserve">   一类：年龄一般在45周岁以下，博士学位获得者，并满足下列条件之一者：</w:t>
      </w:r>
    </w:p>
    <w:p>
      <w:pPr>
        <w:autoSpaceDE w:val="0"/>
        <w:autoSpaceDN w:val="0"/>
        <w:adjustRightInd w:val="0"/>
        <w:spacing w:line="540" w:lineRule="exact"/>
        <w:ind w:firstLine="640"/>
        <w:rPr>
          <w:rFonts w:hint="eastAsia" w:ascii="仿宋_GB2312" w:hAnsi="Calibri" w:eastAsia="仿宋_GB2312" w:cs="仿宋"/>
          <w:color w:val="333333"/>
          <w:kern w:val="0"/>
          <w:sz w:val="32"/>
          <w:szCs w:val="32"/>
          <w:lang w:val="zh-CN"/>
        </w:rPr>
      </w:pPr>
      <w:r>
        <w:rPr>
          <w:rFonts w:hint="eastAsia" w:ascii="仿宋_GB2312" w:hAnsi="Calibri" w:eastAsia="仿宋_GB2312" w:cs="仿宋"/>
          <w:color w:val="333333"/>
          <w:kern w:val="0"/>
          <w:sz w:val="32"/>
          <w:szCs w:val="32"/>
          <w:lang w:val="zh-CN"/>
        </w:rPr>
        <w:t>1.国内知名大学、科研机构具有副高级及以上专业技术职务的博士研究生或出站博士后，主持国家级科研项目1项，并以第一作者发表SCI、SSCI、EI收录论文4篇；</w:t>
      </w:r>
    </w:p>
    <w:p>
      <w:pPr>
        <w:autoSpaceDE w:val="0"/>
        <w:autoSpaceDN w:val="0"/>
        <w:adjustRightInd w:val="0"/>
        <w:spacing w:line="540" w:lineRule="exact"/>
        <w:ind w:firstLine="640"/>
        <w:rPr>
          <w:rFonts w:hint="eastAsia" w:ascii="仿宋_GB2312" w:hAnsi="Calibri" w:eastAsia="仿宋_GB2312" w:cs="仿宋"/>
          <w:color w:val="333333"/>
          <w:kern w:val="0"/>
          <w:sz w:val="32"/>
          <w:szCs w:val="32"/>
          <w:lang w:val="zh-CN"/>
        </w:rPr>
      </w:pPr>
      <w:r>
        <w:rPr>
          <w:rFonts w:hint="eastAsia" w:ascii="仿宋_GB2312" w:hAnsi="Calibri" w:eastAsia="仿宋_GB2312" w:cs="仿宋"/>
          <w:color w:val="333333"/>
          <w:kern w:val="0"/>
          <w:sz w:val="32"/>
          <w:szCs w:val="32"/>
          <w:lang w:val="zh-CN"/>
        </w:rPr>
        <w:t>2.具有</w:t>
      </w:r>
      <w:r>
        <w:rPr>
          <w:rFonts w:hint="eastAsia" w:ascii="仿宋_GB2312" w:hAnsi="Calibri" w:eastAsia="仿宋_GB2312" w:cs="仿宋"/>
          <w:kern w:val="0"/>
          <w:sz w:val="32"/>
          <w:szCs w:val="32"/>
          <w:lang w:val="zh-CN"/>
        </w:rPr>
        <w:t>3年</w:t>
      </w:r>
      <w:r>
        <w:rPr>
          <w:rFonts w:hint="eastAsia" w:ascii="仿宋_GB2312" w:hAnsi="Calibri" w:eastAsia="仿宋_GB2312" w:cs="仿宋"/>
          <w:color w:val="333333"/>
          <w:kern w:val="0"/>
          <w:sz w:val="32"/>
          <w:szCs w:val="32"/>
          <w:lang w:val="zh-CN"/>
        </w:rPr>
        <w:t>及以上海外从事科研工作经历的博士研究生，主持区级科研项目1项，并以第一作者发表SCI、SSCI、EI收录论文4篇；</w:t>
      </w:r>
    </w:p>
    <w:p>
      <w:pPr>
        <w:autoSpaceDE w:val="0"/>
        <w:autoSpaceDN w:val="0"/>
        <w:adjustRightInd w:val="0"/>
        <w:spacing w:line="540" w:lineRule="exact"/>
        <w:ind w:firstLine="640"/>
        <w:rPr>
          <w:rFonts w:hint="eastAsia" w:ascii="仿宋_GB2312" w:hAnsi="Calibri" w:eastAsia="仿宋_GB2312" w:cs="仿宋"/>
          <w:color w:val="333333"/>
          <w:kern w:val="0"/>
          <w:sz w:val="32"/>
          <w:szCs w:val="32"/>
          <w:lang w:val="zh-CN"/>
        </w:rPr>
      </w:pPr>
      <w:r>
        <w:rPr>
          <w:rFonts w:hint="eastAsia" w:ascii="仿宋_GB2312" w:hAnsi="Calibri" w:eastAsia="仿宋_GB2312" w:cs="仿宋"/>
          <w:color w:val="333333"/>
          <w:kern w:val="0"/>
          <w:sz w:val="32"/>
          <w:szCs w:val="32"/>
          <w:lang w:val="zh-CN"/>
        </w:rPr>
        <w:t>3.夫妻双方为博士研究生，专业均符合学校学科需求，并主引者以第一作者发表SCI、SSCI、EI收录论文4篇；</w:t>
      </w:r>
    </w:p>
    <w:p>
      <w:pPr>
        <w:autoSpaceDE w:val="0"/>
        <w:autoSpaceDN w:val="0"/>
        <w:adjustRightInd w:val="0"/>
        <w:spacing w:line="540" w:lineRule="exact"/>
        <w:ind w:firstLine="640"/>
        <w:rPr>
          <w:rFonts w:hint="eastAsia" w:ascii="仿宋_GB2312" w:hAnsi="Calibri" w:eastAsia="仿宋_GB2312" w:cs="仿宋"/>
          <w:color w:val="333333"/>
          <w:kern w:val="0"/>
          <w:sz w:val="32"/>
          <w:szCs w:val="32"/>
          <w:lang w:val="zh-CN"/>
        </w:rPr>
      </w:pPr>
      <w:r>
        <w:rPr>
          <w:rFonts w:hint="eastAsia" w:ascii="仿宋_GB2312" w:hAnsi="Calibri" w:eastAsia="仿宋_GB2312" w:cs="仿宋"/>
          <w:color w:val="333333"/>
          <w:kern w:val="0"/>
          <w:sz w:val="32"/>
          <w:szCs w:val="32"/>
          <w:lang w:val="zh-CN"/>
        </w:rPr>
        <w:t>4.博士研究生毕业5年内，并以第一作者发表SCI、SSCI、EI收录论文5篇。</w:t>
      </w:r>
    </w:p>
    <w:p>
      <w:pPr>
        <w:autoSpaceDE w:val="0"/>
        <w:autoSpaceDN w:val="0"/>
        <w:adjustRightInd w:val="0"/>
        <w:spacing w:line="540" w:lineRule="exact"/>
        <w:ind w:firstLine="640"/>
        <w:rPr>
          <w:rFonts w:hint="eastAsia" w:ascii="仿宋_GB2312" w:hAnsi="Calibri" w:eastAsia="仿宋_GB2312" w:cs="仿宋"/>
          <w:color w:val="333333"/>
          <w:kern w:val="0"/>
          <w:sz w:val="32"/>
          <w:szCs w:val="32"/>
          <w:lang w:val="zh-CN"/>
        </w:rPr>
      </w:pPr>
      <w:r>
        <w:rPr>
          <w:rFonts w:hint="eastAsia" w:ascii="仿宋_GB2312" w:hAnsi="Calibri" w:eastAsia="仿宋_GB2312" w:cs="仿宋"/>
          <w:color w:val="333333"/>
          <w:kern w:val="0"/>
          <w:sz w:val="32"/>
          <w:szCs w:val="32"/>
          <w:lang w:val="zh-CN"/>
        </w:rPr>
        <w:t>二类：年龄一般在40周岁以下，具有副高级及以上专业技术职务的博士研究生，或以第一作者发表SCI、SSCI、EI收录论文2篇的博士研究生。</w:t>
      </w:r>
    </w:p>
    <w:p>
      <w:pPr>
        <w:autoSpaceDE w:val="0"/>
        <w:autoSpaceDN w:val="0"/>
        <w:adjustRightInd w:val="0"/>
        <w:spacing w:line="540" w:lineRule="exact"/>
        <w:ind w:firstLine="640"/>
        <w:rPr>
          <w:rFonts w:hint="eastAsia" w:ascii="仿宋_GB2312" w:hAnsi="Calibri" w:eastAsia="仿宋_GB2312" w:cs="仿宋"/>
          <w:color w:val="333333"/>
          <w:kern w:val="0"/>
          <w:sz w:val="32"/>
          <w:szCs w:val="32"/>
          <w:lang w:val="zh-CN"/>
        </w:rPr>
      </w:pPr>
      <w:r>
        <w:rPr>
          <w:rFonts w:hint="eastAsia" w:ascii="仿宋_GB2312" w:hAnsi="Calibri" w:eastAsia="仿宋_GB2312" w:cs="仿宋"/>
          <w:color w:val="333333"/>
          <w:kern w:val="0"/>
          <w:sz w:val="32"/>
          <w:szCs w:val="32"/>
          <w:lang w:val="zh-CN"/>
        </w:rPr>
        <w:t>三类：年龄在40周岁以下博士研究生。</w:t>
      </w:r>
    </w:p>
    <w:p>
      <w:pPr>
        <w:autoSpaceDE w:val="0"/>
        <w:autoSpaceDN w:val="0"/>
        <w:adjustRightInd w:val="0"/>
        <w:spacing w:line="540" w:lineRule="exact"/>
        <w:ind w:firstLine="640"/>
        <w:rPr>
          <w:rFonts w:hint="eastAsia" w:ascii="仿宋_GB2312" w:hAnsi="Calibri" w:eastAsia="仿宋_GB2312" w:cs="仿宋"/>
          <w:color w:val="333333"/>
          <w:kern w:val="0"/>
          <w:sz w:val="32"/>
          <w:szCs w:val="32"/>
          <w:lang w:val="zh-CN"/>
        </w:rPr>
      </w:pPr>
      <w:r>
        <w:rPr>
          <w:rFonts w:hint="eastAsia" w:ascii="仿宋_GB2312" w:hAnsi="Calibri" w:eastAsia="仿宋_GB2312" w:cs="仿宋"/>
          <w:color w:val="333333"/>
          <w:kern w:val="0"/>
          <w:sz w:val="32"/>
          <w:szCs w:val="32"/>
          <w:lang w:val="zh-CN"/>
        </w:rPr>
        <w:t>以上应聘者成果如有交叉或未被列入者，如课题、奖励、发明专利、著作、译著等，由各用人单位根据其成果质量和学术潜力综合比对，以确定其人才类别。</w:t>
      </w:r>
    </w:p>
    <w:p>
      <w:pPr>
        <w:autoSpaceDE w:val="0"/>
        <w:autoSpaceDN w:val="0"/>
        <w:adjustRightInd w:val="0"/>
        <w:spacing w:line="540" w:lineRule="exact"/>
        <w:ind w:firstLine="640"/>
        <w:rPr>
          <w:rFonts w:hint="eastAsia" w:ascii="仿宋_GB2312" w:hAnsi="Calibri" w:eastAsia="仿宋_GB2312" w:cs="仿宋"/>
          <w:color w:val="333333"/>
          <w:kern w:val="0"/>
          <w:sz w:val="32"/>
          <w:szCs w:val="32"/>
          <w:lang w:val="zh-CN"/>
        </w:rPr>
      </w:pPr>
      <w:r>
        <w:rPr>
          <w:rFonts w:hint="eastAsia" w:ascii="仿宋_GB2312" w:hAnsi="Calibri" w:eastAsia="仿宋_GB2312" w:cs="仿宋"/>
          <w:color w:val="333333"/>
          <w:kern w:val="0"/>
          <w:sz w:val="32"/>
          <w:szCs w:val="32"/>
          <w:lang w:val="zh-CN"/>
        </w:rPr>
        <w:t>五、其他领域急需人才</w:t>
      </w:r>
    </w:p>
    <w:p>
      <w:pPr>
        <w:autoSpaceDE w:val="0"/>
        <w:autoSpaceDN w:val="0"/>
        <w:adjustRightInd w:val="0"/>
        <w:spacing w:line="540" w:lineRule="exact"/>
        <w:ind w:firstLine="640"/>
        <w:rPr>
          <w:rFonts w:hint="eastAsia" w:ascii="仿宋_GB2312" w:hAnsi="Calibri" w:eastAsia="仿宋_GB2312" w:cs="仿宋"/>
          <w:color w:val="333333"/>
          <w:kern w:val="0"/>
          <w:sz w:val="32"/>
          <w:szCs w:val="32"/>
          <w:lang w:val="zh-CN"/>
        </w:rPr>
      </w:pPr>
      <w:r>
        <w:rPr>
          <w:rFonts w:hint="eastAsia" w:ascii="仿宋_GB2312" w:hAnsi="Calibri" w:eastAsia="仿宋_GB2312" w:cs="仿宋"/>
          <w:color w:val="333333"/>
          <w:kern w:val="0"/>
          <w:sz w:val="32"/>
          <w:szCs w:val="32"/>
          <w:lang w:val="zh-CN"/>
        </w:rPr>
        <w:t>学校其他领域急需的硕士、博士和“双师双能型”高级职称人员。</w:t>
      </w:r>
    </w:p>
    <w:p>
      <w:pPr>
        <w:autoSpaceDE w:val="0"/>
        <w:autoSpaceDN w:val="0"/>
        <w:adjustRightInd w:val="0"/>
        <w:spacing w:line="540" w:lineRule="exact"/>
        <w:ind w:firstLine="643"/>
        <w:rPr>
          <w:rFonts w:hint="eastAsia" w:ascii="仿宋_GB2312" w:hAnsi="Calibri" w:eastAsia="仿宋_GB2312" w:cs="仿宋"/>
          <w:kern w:val="0"/>
          <w:sz w:val="32"/>
          <w:szCs w:val="32"/>
          <w:lang w:val="zh-CN"/>
        </w:rPr>
      </w:pPr>
      <w:r>
        <w:rPr>
          <w:rFonts w:hint="eastAsia" w:ascii="仿宋_GB2312" w:hAnsi="Calibri" w:eastAsia="仿宋_GB2312" w:cs="仿宋"/>
          <w:b/>
          <w:bCs/>
          <w:color w:val="333333"/>
          <w:kern w:val="0"/>
          <w:sz w:val="32"/>
          <w:szCs w:val="32"/>
          <w:lang w:val="zh-CN"/>
        </w:rPr>
        <w:t>第六条</w:t>
      </w:r>
      <w:r>
        <w:rPr>
          <w:rFonts w:hint="eastAsia" w:ascii="仿宋_GB2312" w:hAnsi="Calibri" w:eastAsia="仿宋_GB2312" w:cs="宋体"/>
          <w:kern w:val="0"/>
          <w:sz w:val="32"/>
          <w:szCs w:val="32"/>
          <w:lang w:val="zh-CN"/>
        </w:rPr>
        <w:t xml:space="preserve">  </w:t>
      </w:r>
      <w:r>
        <w:rPr>
          <w:rFonts w:hint="eastAsia" w:ascii="仿宋_GB2312" w:hAnsi="Calibri" w:eastAsia="仿宋_GB2312" w:cs="仿宋"/>
          <w:color w:val="333333"/>
          <w:kern w:val="0"/>
          <w:sz w:val="32"/>
          <w:szCs w:val="32"/>
          <w:lang w:val="zh-CN"/>
        </w:rPr>
        <w:t>学校按照不同层次给予引进人才相应待遇，具</w:t>
      </w:r>
      <w:r>
        <w:rPr>
          <w:rFonts w:hint="eastAsia" w:ascii="仿宋_GB2312" w:hAnsi="Calibri" w:eastAsia="仿宋_GB2312" w:cs="仿宋"/>
          <w:kern w:val="0"/>
          <w:sz w:val="32"/>
          <w:szCs w:val="32"/>
          <w:lang w:val="zh-CN"/>
        </w:rPr>
        <w:t>体标准见附表。</w:t>
      </w:r>
    </w:p>
    <w:p>
      <w:pPr>
        <w:autoSpaceDE w:val="0"/>
        <w:autoSpaceDN w:val="0"/>
        <w:adjustRightInd w:val="0"/>
        <w:spacing w:line="540" w:lineRule="exact"/>
        <w:ind w:firstLine="643"/>
        <w:rPr>
          <w:rFonts w:hint="eastAsia" w:ascii="仿宋_GB2312" w:hAnsi="Calibri" w:eastAsia="仿宋_GB2312" w:cs="仿宋"/>
          <w:kern w:val="0"/>
          <w:sz w:val="32"/>
          <w:szCs w:val="32"/>
          <w:lang w:val="zh-CN"/>
        </w:rPr>
      </w:pPr>
      <w:r>
        <w:rPr>
          <w:rFonts w:hint="eastAsia" w:ascii="仿宋_GB2312" w:hAnsi="Calibri" w:eastAsia="仿宋_GB2312" w:cs="仿宋"/>
          <w:b/>
          <w:bCs/>
          <w:color w:val="333333"/>
          <w:kern w:val="0"/>
          <w:sz w:val="32"/>
          <w:szCs w:val="32"/>
          <w:lang w:val="zh-CN"/>
        </w:rPr>
        <w:t xml:space="preserve">第七条  </w:t>
      </w:r>
      <w:r>
        <w:rPr>
          <w:rFonts w:hint="eastAsia" w:ascii="仿宋_GB2312" w:hAnsi="Calibri" w:eastAsia="仿宋_GB2312" w:cs="仿宋"/>
          <w:color w:val="333333"/>
          <w:kern w:val="0"/>
          <w:sz w:val="32"/>
          <w:szCs w:val="32"/>
          <w:lang w:val="zh-CN"/>
        </w:rPr>
        <w:t>凡符合自治区、固原市相关政策中规定的引进对象，除享受学校提供的相应待遇外，还可申报享受自治区、固原市的工作和生活待遇。</w:t>
      </w:r>
    </w:p>
    <w:p>
      <w:pPr>
        <w:autoSpaceDE w:val="0"/>
        <w:autoSpaceDN w:val="0"/>
        <w:adjustRightInd w:val="0"/>
        <w:spacing w:line="540" w:lineRule="exact"/>
        <w:ind w:firstLine="643"/>
        <w:rPr>
          <w:rFonts w:hint="eastAsia" w:ascii="仿宋_GB2312" w:hAnsi="Calibri" w:eastAsia="仿宋_GB2312" w:cs="仿宋"/>
          <w:color w:val="333333"/>
          <w:kern w:val="0"/>
          <w:sz w:val="32"/>
          <w:szCs w:val="32"/>
          <w:lang w:val="zh-CN"/>
        </w:rPr>
      </w:pPr>
      <w:r>
        <w:rPr>
          <w:rFonts w:hint="eastAsia" w:ascii="仿宋_GB2312" w:hAnsi="Calibri" w:eastAsia="仿宋_GB2312" w:cs="仿宋"/>
          <w:b/>
          <w:bCs/>
          <w:color w:val="333333"/>
          <w:kern w:val="0"/>
          <w:sz w:val="32"/>
          <w:szCs w:val="32"/>
          <w:lang w:val="zh-CN"/>
        </w:rPr>
        <w:t xml:space="preserve">第八条  </w:t>
      </w:r>
      <w:r>
        <w:rPr>
          <w:rFonts w:hint="eastAsia" w:ascii="仿宋_GB2312" w:hAnsi="Calibri" w:eastAsia="仿宋_GB2312" w:cs="仿宋"/>
          <w:color w:val="333333"/>
          <w:kern w:val="0"/>
          <w:sz w:val="32"/>
          <w:szCs w:val="32"/>
          <w:lang w:val="zh-CN"/>
        </w:rPr>
        <w:t>学校定向培养（按合同约定）毕业回校工作的博士研究生，凡符合第五条要求的，可享受相应待遇。</w:t>
      </w:r>
    </w:p>
    <w:p>
      <w:pPr>
        <w:autoSpaceDE w:val="0"/>
        <w:autoSpaceDN w:val="0"/>
        <w:adjustRightInd w:val="0"/>
        <w:spacing w:line="540" w:lineRule="exact"/>
        <w:ind w:firstLine="643"/>
        <w:rPr>
          <w:rFonts w:hint="eastAsia" w:ascii="仿宋_GB2312" w:hAnsi="Calibri" w:eastAsia="仿宋_GB2312" w:cs="仿宋"/>
          <w:color w:val="333333"/>
          <w:kern w:val="0"/>
          <w:sz w:val="32"/>
          <w:szCs w:val="32"/>
          <w:lang w:val="zh-CN"/>
        </w:rPr>
      </w:pPr>
      <w:r>
        <w:rPr>
          <w:rFonts w:hint="eastAsia" w:ascii="仿宋_GB2312" w:hAnsi="Calibri" w:eastAsia="仿宋_GB2312" w:cs="仿宋"/>
          <w:b/>
          <w:bCs/>
          <w:kern w:val="0"/>
          <w:sz w:val="32"/>
          <w:szCs w:val="32"/>
          <w:lang w:val="zh-CN"/>
        </w:rPr>
        <w:t>第九条</w:t>
      </w:r>
      <w:r>
        <w:rPr>
          <w:rFonts w:hint="eastAsia" w:ascii="仿宋_GB2312" w:hAnsi="Calibri" w:eastAsia="仿宋_GB2312" w:cs="宋体"/>
          <w:kern w:val="0"/>
          <w:sz w:val="32"/>
          <w:szCs w:val="32"/>
          <w:lang w:val="zh-CN"/>
        </w:rPr>
        <w:t xml:space="preserve">  </w:t>
      </w:r>
      <w:r>
        <w:rPr>
          <w:rFonts w:hint="eastAsia" w:ascii="仿宋_GB2312" w:hAnsi="Calibri" w:eastAsia="仿宋_GB2312" w:cs="仿宋"/>
          <w:color w:val="333333"/>
          <w:kern w:val="0"/>
          <w:sz w:val="32"/>
          <w:szCs w:val="32"/>
          <w:lang w:val="zh-CN"/>
        </w:rPr>
        <w:t>根据学校人才队伍建设规划和学科发展需要，可整体引进人才团队，具体待遇、职责等可参照本《办法》另行商议。</w:t>
      </w:r>
    </w:p>
    <w:p>
      <w:pPr>
        <w:autoSpaceDE w:val="0"/>
        <w:autoSpaceDN w:val="0"/>
        <w:adjustRightInd w:val="0"/>
        <w:spacing w:line="540" w:lineRule="exact"/>
        <w:ind w:firstLine="643"/>
        <w:rPr>
          <w:rFonts w:hint="eastAsia" w:ascii="仿宋_GB2312" w:hAnsi="Calibri" w:eastAsia="仿宋_GB2312" w:cs="仿宋"/>
          <w:color w:val="333333"/>
          <w:kern w:val="0"/>
          <w:sz w:val="32"/>
          <w:szCs w:val="32"/>
          <w:lang w:val="zh-CN"/>
        </w:rPr>
      </w:pPr>
      <w:r>
        <w:rPr>
          <w:rFonts w:hint="eastAsia" w:ascii="仿宋_GB2312" w:hAnsi="Calibri" w:eastAsia="仿宋_GB2312" w:cs="仿宋"/>
          <w:b/>
          <w:bCs/>
          <w:kern w:val="0"/>
          <w:sz w:val="32"/>
          <w:szCs w:val="32"/>
          <w:lang w:val="zh-CN"/>
        </w:rPr>
        <w:t>第十条</w:t>
      </w:r>
      <w:r>
        <w:rPr>
          <w:rFonts w:hint="eastAsia" w:ascii="仿宋_GB2312" w:hAnsi="Calibri" w:eastAsia="仿宋_GB2312" w:cs="宋体"/>
          <w:kern w:val="0"/>
          <w:sz w:val="32"/>
          <w:szCs w:val="32"/>
          <w:lang w:val="zh-CN"/>
        </w:rPr>
        <w:t xml:space="preserve">  </w:t>
      </w:r>
      <w:r>
        <w:rPr>
          <w:rFonts w:hint="eastAsia" w:ascii="仿宋_GB2312" w:hAnsi="Calibri" w:eastAsia="仿宋_GB2312" w:cs="仿宋"/>
          <w:color w:val="333333"/>
          <w:kern w:val="0"/>
          <w:sz w:val="32"/>
          <w:szCs w:val="32"/>
          <w:lang w:val="zh-CN"/>
        </w:rPr>
        <w:t>柔性引进人才和特岗聘用人才的待遇、职责等可参照《宁夏师范学院高层次人才引进办法(试行)》另行商议。</w:t>
      </w:r>
    </w:p>
    <w:p>
      <w:pPr>
        <w:autoSpaceDE w:val="0"/>
        <w:autoSpaceDN w:val="0"/>
        <w:adjustRightInd w:val="0"/>
        <w:spacing w:before="312" w:beforeLines="100" w:after="156" w:afterLines="50" w:line="540" w:lineRule="exact"/>
        <w:jc w:val="center"/>
        <w:rPr>
          <w:rFonts w:hint="eastAsia" w:ascii="仿宋_GB2312" w:hAnsi="Calibri" w:eastAsia="仿宋_GB2312" w:cs="仿宋"/>
          <w:color w:val="333333"/>
          <w:kern w:val="0"/>
          <w:sz w:val="32"/>
          <w:szCs w:val="32"/>
          <w:lang w:val="zh-CN"/>
        </w:rPr>
      </w:pPr>
      <w:r>
        <w:rPr>
          <w:rFonts w:hint="eastAsia" w:ascii="仿宋_GB2312" w:hAnsi="Calibri" w:eastAsia="仿宋_GB2312" w:cs="仿宋"/>
          <w:b/>
          <w:bCs/>
          <w:color w:val="333333"/>
          <w:kern w:val="0"/>
          <w:sz w:val="32"/>
          <w:szCs w:val="32"/>
          <w:lang w:val="zh-CN"/>
        </w:rPr>
        <w:t>第三章</w:t>
      </w:r>
      <w:r>
        <w:rPr>
          <w:rFonts w:hint="eastAsia" w:ascii="仿宋_GB2312" w:hAnsi="Calibri" w:eastAsia="仿宋_GB2312" w:cs="仿宋"/>
          <w:color w:val="333333"/>
          <w:kern w:val="0"/>
          <w:sz w:val="32"/>
          <w:szCs w:val="32"/>
          <w:lang w:val="zh-CN"/>
        </w:rPr>
        <w:t>  组织领导和保障措施</w:t>
      </w:r>
    </w:p>
    <w:p>
      <w:pPr>
        <w:autoSpaceDE w:val="0"/>
        <w:autoSpaceDN w:val="0"/>
        <w:adjustRightInd w:val="0"/>
        <w:spacing w:line="540" w:lineRule="exact"/>
        <w:ind w:firstLine="643"/>
        <w:rPr>
          <w:rFonts w:hint="eastAsia" w:ascii="仿宋_GB2312" w:hAnsi="Calibri" w:eastAsia="仿宋_GB2312" w:cs="仿宋"/>
          <w:kern w:val="0"/>
          <w:sz w:val="32"/>
          <w:szCs w:val="32"/>
          <w:lang w:val="zh-CN"/>
        </w:rPr>
      </w:pPr>
      <w:r>
        <w:rPr>
          <w:rFonts w:hint="eastAsia" w:ascii="仿宋_GB2312" w:hAnsi="Calibri" w:eastAsia="仿宋_GB2312" w:cs="仿宋"/>
          <w:b/>
          <w:bCs/>
          <w:color w:val="333333"/>
          <w:kern w:val="0"/>
          <w:sz w:val="32"/>
          <w:szCs w:val="32"/>
          <w:lang w:val="zh-CN"/>
        </w:rPr>
        <w:t>第十一条</w:t>
      </w:r>
      <w:r>
        <w:rPr>
          <w:rFonts w:hint="eastAsia" w:ascii="仿宋_GB2312" w:hAnsi="Calibri" w:eastAsia="仿宋_GB2312" w:cs="宋体"/>
          <w:color w:val="333333"/>
          <w:kern w:val="0"/>
          <w:sz w:val="32"/>
          <w:szCs w:val="32"/>
          <w:lang w:val="zh-CN"/>
        </w:rPr>
        <w:t xml:space="preserve">  </w:t>
      </w:r>
      <w:r>
        <w:rPr>
          <w:rFonts w:hint="eastAsia" w:ascii="仿宋_GB2312" w:hAnsi="Calibri" w:eastAsia="仿宋_GB2312" w:cs="仿宋"/>
          <w:kern w:val="0"/>
          <w:sz w:val="32"/>
          <w:szCs w:val="32"/>
          <w:lang w:val="zh-CN"/>
        </w:rPr>
        <w:t>人才引进在学校人事人才工作领导小组领导下开展工作。设立宁夏师范学院人才引进专家评估小组（以下简称评估小组），组长由主管业务副校长担任，成员由校内相关学科专家组成。</w:t>
      </w:r>
    </w:p>
    <w:p>
      <w:pPr>
        <w:autoSpaceDE w:val="0"/>
        <w:autoSpaceDN w:val="0"/>
        <w:adjustRightInd w:val="0"/>
        <w:spacing w:line="540" w:lineRule="exact"/>
        <w:ind w:firstLine="643"/>
        <w:rPr>
          <w:rFonts w:hint="eastAsia" w:ascii="仿宋_GB2312" w:hAnsi="Calibri" w:eastAsia="仿宋_GB2312" w:cs="仿宋"/>
          <w:kern w:val="0"/>
          <w:sz w:val="32"/>
          <w:szCs w:val="32"/>
          <w:lang w:val="zh-CN"/>
        </w:rPr>
      </w:pPr>
      <w:r>
        <w:rPr>
          <w:rFonts w:hint="eastAsia" w:ascii="仿宋_GB2312" w:hAnsi="Calibri" w:eastAsia="仿宋_GB2312" w:cs="仿宋"/>
          <w:b/>
          <w:bCs/>
          <w:color w:val="333333"/>
          <w:kern w:val="0"/>
          <w:sz w:val="32"/>
          <w:szCs w:val="32"/>
          <w:lang w:val="zh-CN"/>
        </w:rPr>
        <w:t>第十二条</w:t>
      </w:r>
      <w:r>
        <w:rPr>
          <w:rFonts w:hint="eastAsia" w:ascii="仿宋_GB2312" w:hAnsi="Calibri" w:eastAsia="仿宋_GB2312" w:cs="宋体"/>
          <w:color w:val="333333"/>
          <w:kern w:val="0"/>
          <w:sz w:val="32"/>
          <w:szCs w:val="32"/>
          <w:lang w:val="zh-CN"/>
        </w:rPr>
        <w:t xml:space="preserve">  </w:t>
      </w:r>
      <w:r>
        <w:rPr>
          <w:rFonts w:hint="eastAsia" w:ascii="仿宋_GB2312" w:hAnsi="Calibri" w:eastAsia="仿宋_GB2312" w:cs="仿宋"/>
          <w:color w:val="333333"/>
          <w:kern w:val="0"/>
          <w:sz w:val="32"/>
          <w:szCs w:val="32"/>
          <w:lang w:val="zh-CN"/>
        </w:rPr>
        <w:t>学校根据年度用人计划，安排预算经费。</w:t>
      </w:r>
    </w:p>
    <w:p>
      <w:pPr>
        <w:autoSpaceDE w:val="0"/>
        <w:autoSpaceDN w:val="0"/>
        <w:adjustRightInd w:val="0"/>
        <w:spacing w:before="312" w:beforeLines="100" w:after="156" w:afterLines="50" w:line="540" w:lineRule="exact"/>
        <w:jc w:val="center"/>
        <w:rPr>
          <w:rFonts w:hint="eastAsia" w:ascii="仿宋_GB2312" w:hAnsi="Calibri" w:eastAsia="仿宋_GB2312" w:cs="仿宋"/>
          <w:color w:val="333333"/>
          <w:kern w:val="0"/>
          <w:sz w:val="32"/>
          <w:szCs w:val="32"/>
          <w:lang w:val="zh-CN"/>
        </w:rPr>
      </w:pPr>
      <w:r>
        <w:rPr>
          <w:rFonts w:hint="eastAsia" w:ascii="仿宋_GB2312" w:hAnsi="Calibri" w:eastAsia="仿宋_GB2312" w:cs="仿宋"/>
          <w:b/>
          <w:bCs/>
          <w:color w:val="333333"/>
          <w:kern w:val="0"/>
          <w:sz w:val="32"/>
          <w:szCs w:val="32"/>
          <w:lang w:val="zh-CN"/>
        </w:rPr>
        <w:t>第四章</w:t>
      </w:r>
      <w:r>
        <w:rPr>
          <w:rFonts w:hint="eastAsia" w:ascii="仿宋_GB2312" w:hAnsi="Calibri" w:eastAsia="仿宋_GB2312" w:cs="仿宋"/>
          <w:color w:val="333333"/>
          <w:kern w:val="0"/>
          <w:sz w:val="32"/>
          <w:szCs w:val="32"/>
          <w:lang w:val="zh-CN"/>
        </w:rPr>
        <w:t xml:space="preserve">  程  序</w:t>
      </w:r>
    </w:p>
    <w:p>
      <w:pPr>
        <w:autoSpaceDE w:val="0"/>
        <w:autoSpaceDN w:val="0"/>
        <w:adjustRightInd w:val="0"/>
        <w:spacing w:line="540" w:lineRule="exact"/>
        <w:ind w:firstLine="643"/>
        <w:rPr>
          <w:rFonts w:hint="eastAsia" w:ascii="仿宋_GB2312" w:hAnsi="Calibri" w:eastAsia="仿宋_GB2312" w:cs="仿宋"/>
          <w:kern w:val="0"/>
          <w:sz w:val="32"/>
          <w:szCs w:val="32"/>
          <w:lang w:val="zh-CN"/>
        </w:rPr>
      </w:pPr>
      <w:r>
        <w:rPr>
          <w:rFonts w:hint="eastAsia" w:ascii="仿宋_GB2312" w:hAnsi="Calibri" w:eastAsia="仿宋_GB2312" w:cs="仿宋"/>
          <w:b/>
          <w:bCs/>
          <w:color w:val="333333"/>
          <w:kern w:val="0"/>
          <w:sz w:val="32"/>
          <w:szCs w:val="32"/>
          <w:lang w:val="zh-CN"/>
        </w:rPr>
        <w:t>第十三条</w:t>
      </w:r>
      <w:r>
        <w:rPr>
          <w:rFonts w:hint="eastAsia" w:ascii="仿宋_GB2312" w:hAnsi="Calibri" w:eastAsia="仿宋_GB2312" w:cs="宋体"/>
          <w:color w:val="333333"/>
          <w:kern w:val="0"/>
          <w:sz w:val="32"/>
          <w:szCs w:val="32"/>
          <w:lang w:val="zh-CN"/>
        </w:rPr>
        <w:t xml:space="preserve">  </w:t>
      </w:r>
      <w:r>
        <w:rPr>
          <w:rFonts w:hint="eastAsia" w:ascii="仿宋_GB2312" w:hAnsi="Calibri" w:eastAsia="仿宋_GB2312" w:cs="仿宋"/>
          <w:color w:val="333333"/>
          <w:kern w:val="0"/>
          <w:sz w:val="32"/>
          <w:szCs w:val="32"/>
          <w:lang w:val="zh-CN"/>
        </w:rPr>
        <w:t>人才引进工作按照以下程序进行</w:t>
      </w:r>
    </w:p>
    <w:p>
      <w:pPr>
        <w:autoSpaceDE w:val="0"/>
        <w:autoSpaceDN w:val="0"/>
        <w:adjustRightInd w:val="0"/>
        <w:spacing w:line="540" w:lineRule="exact"/>
        <w:ind w:firstLine="640"/>
        <w:rPr>
          <w:rFonts w:hint="eastAsia" w:ascii="仿宋_GB2312" w:hAnsi="Calibri" w:eastAsia="仿宋_GB2312" w:cs="仿宋"/>
          <w:kern w:val="0"/>
          <w:sz w:val="32"/>
          <w:szCs w:val="32"/>
          <w:lang w:val="zh-CN"/>
        </w:rPr>
      </w:pPr>
      <w:r>
        <w:rPr>
          <w:rFonts w:hint="eastAsia" w:ascii="仿宋_GB2312" w:hAnsi="Calibri" w:eastAsia="仿宋_GB2312" w:cs="仿宋"/>
          <w:kern w:val="0"/>
          <w:sz w:val="32"/>
          <w:szCs w:val="32"/>
          <w:lang w:val="zh-CN"/>
        </w:rPr>
        <w:t>（一）</w:t>
      </w:r>
      <w:r>
        <w:rPr>
          <w:rFonts w:hint="eastAsia" w:ascii="仿宋_GB2312" w:hAnsi="Calibri" w:eastAsia="仿宋_GB2312" w:cs="宋体"/>
          <w:kern w:val="0"/>
          <w:sz w:val="32"/>
          <w:szCs w:val="32"/>
          <w:lang w:val="zh-CN"/>
        </w:rPr>
        <w:t> </w:t>
      </w:r>
      <w:r>
        <w:rPr>
          <w:rFonts w:hint="eastAsia" w:ascii="仿宋_GB2312" w:hAnsi="Calibri" w:eastAsia="仿宋_GB2312" w:cs="仿宋"/>
          <w:kern w:val="0"/>
          <w:sz w:val="32"/>
          <w:szCs w:val="32"/>
          <w:lang w:val="zh-CN"/>
        </w:rPr>
        <w:t>个人申请</w:t>
      </w:r>
    </w:p>
    <w:p>
      <w:pPr>
        <w:autoSpaceDE w:val="0"/>
        <w:autoSpaceDN w:val="0"/>
        <w:adjustRightInd w:val="0"/>
        <w:spacing w:line="540" w:lineRule="exact"/>
        <w:ind w:firstLine="640"/>
        <w:rPr>
          <w:rFonts w:hint="eastAsia" w:ascii="仿宋_GB2312" w:hAnsi="Calibri" w:eastAsia="仿宋_GB2312" w:cs="仿宋"/>
          <w:kern w:val="0"/>
          <w:sz w:val="32"/>
          <w:szCs w:val="32"/>
          <w:lang w:val="zh-CN"/>
        </w:rPr>
      </w:pPr>
      <w:r>
        <w:rPr>
          <w:rFonts w:hint="eastAsia" w:ascii="仿宋_GB2312" w:hAnsi="Calibri" w:eastAsia="仿宋_GB2312" w:cs="仿宋"/>
          <w:kern w:val="0"/>
          <w:sz w:val="32"/>
          <w:szCs w:val="32"/>
          <w:lang w:val="zh-CN"/>
        </w:rPr>
        <w:t>应聘人员根据学校年度招聘计划向人事处和用人单位同时提出申请，填写《宁夏师范学院引进人才申请表》（附件1），并提交以下材料：</w:t>
      </w:r>
    </w:p>
    <w:p>
      <w:pPr>
        <w:autoSpaceDE w:val="0"/>
        <w:autoSpaceDN w:val="0"/>
        <w:adjustRightInd w:val="0"/>
        <w:spacing w:line="540" w:lineRule="exact"/>
        <w:ind w:firstLine="640"/>
        <w:rPr>
          <w:rFonts w:hint="eastAsia" w:ascii="仿宋_GB2312" w:hAnsi="Calibri" w:eastAsia="仿宋_GB2312" w:cs="仿宋"/>
          <w:kern w:val="0"/>
          <w:sz w:val="32"/>
          <w:szCs w:val="32"/>
          <w:lang w:val="zh-CN"/>
        </w:rPr>
      </w:pPr>
      <w:r>
        <w:rPr>
          <w:rFonts w:hint="eastAsia" w:ascii="仿宋_GB2312" w:hAnsi="Calibri" w:eastAsia="仿宋_GB2312" w:cs="仿宋"/>
          <w:kern w:val="0"/>
          <w:sz w:val="32"/>
          <w:szCs w:val="32"/>
          <w:lang w:val="zh-CN"/>
        </w:rPr>
        <w:t>1.个人履历表、历次学历学位证书复印件、历次专业技术职务资格证书复印件；</w:t>
      </w:r>
    </w:p>
    <w:p>
      <w:pPr>
        <w:autoSpaceDE w:val="0"/>
        <w:autoSpaceDN w:val="0"/>
        <w:adjustRightInd w:val="0"/>
        <w:spacing w:line="540" w:lineRule="exact"/>
        <w:ind w:firstLine="640"/>
        <w:rPr>
          <w:rFonts w:hint="eastAsia" w:ascii="仿宋_GB2312" w:hAnsi="Calibri" w:eastAsia="仿宋_GB2312" w:cs="仿宋"/>
          <w:kern w:val="0"/>
          <w:sz w:val="32"/>
          <w:szCs w:val="32"/>
          <w:lang w:val="zh-CN"/>
        </w:rPr>
      </w:pPr>
      <w:r>
        <w:rPr>
          <w:rFonts w:hint="eastAsia" w:ascii="仿宋_GB2312" w:hAnsi="Calibri" w:eastAsia="仿宋_GB2312" w:cs="仿宋"/>
          <w:kern w:val="0"/>
          <w:sz w:val="32"/>
          <w:szCs w:val="32"/>
          <w:lang w:val="zh-CN"/>
        </w:rPr>
        <w:t>2.《留学回国人员证明》复印件、教育部留学学历认证中心或中心委托的代理机构提供的“国（境）外学历学位认证书”复印件、本人护照复印件；</w:t>
      </w:r>
    </w:p>
    <w:p>
      <w:pPr>
        <w:autoSpaceDE w:val="0"/>
        <w:autoSpaceDN w:val="0"/>
        <w:adjustRightInd w:val="0"/>
        <w:spacing w:line="540" w:lineRule="exact"/>
        <w:ind w:firstLine="640"/>
        <w:rPr>
          <w:rFonts w:hint="eastAsia" w:ascii="仿宋_GB2312" w:hAnsi="Calibri" w:eastAsia="仿宋_GB2312" w:cs="仿宋"/>
          <w:kern w:val="0"/>
          <w:sz w:val="32"/>
          <w:szCs w:val="32"/>
          <w:lang w:val="zh-CN"/>
        </w:rPr>
      </w:pPr>
      <w:r>
        <w:rPr>
          <w:rFonts w:hint="eastAsia" w:ascii="仿宋_GB2312" w:hAnsi="Calibri" w:eastAsia="仿宋_GB2312" w:cs="仿宋"/>
          <w:kern w:val="0"/>
          <w:sz w:val="32"/>
          <w:szCs w:val="32"/>
          <w:lang w:val="zh-CN"/>
        </w:rPr>
        <w:t>3.在境外从事专业工作的，需由导师或所在院校、机构出具工作证明；</w:t>
      </w:r>
    </w:p>
    <w:p>
      <w:pPr>
        <w:autoSpaceDE w:val="0"/>
        <w:autoSpaceDN w:val="0"/>
        <w:adjustRightInd w:val="0"/>
        <w:spacing w:line="540" w:lineRule="exact"/>
        <w:ind w:firstLine="640"/>
        <w:rPr>
          <w:rFonts w:hint="eastAsia" w:ascii="仿宋_GB2312" w:hAnsi="Calibri" w:eastAsia="仿宋_GB2312" w:cs="仿宋"/>
          <w:kern w:val="0"/>
          <w:sz w:val="32"/>
          <w:szCs w:val="32"/>
          <w:lang w:val="zh-CN"/>
        </w:rPr>
      </w:pPr>
      <w:r>
        <w:rPr>
          <w:rFonts w:hint="eastAsia" w:ascii="仿宋_GB2312" w:hAnsi="Calibri" w:eastAsia="仿宋_GB2312" w:cs="仿宋"/>
          <w:kern w:val="0"/>
          <w:sz w:val="32"/>
          <w:szCs w:val="32"/>
          <w:lang w:val="zh-CN"/>
        </w:rPr>
        <w:t>4.体现个人业务能力和研究水平的专业论著或其他相关材料。</w:t>
      </w:r>
    </w:p>
    <w:p>
      <w:pPr>
        <w:autoSpaceDE w:val="0"/>
        <w:autoSpaceDN w:val="0"/>
        <w:adjustRightInd w:val="0"/>
        <w:spacing w:line="540" w:lineRule="exact"/>
        <w:ind w:firstLine="640"/>
        <w:rPr>
          <w:rFonts w:hint="eastAsia" w:ascii="仿宋_GB2312" w:hAnsi="Calibri" w:eastAsia="仿宋_GB2312" w:cs="仿宋"/>
          <w:kern w:val="0"/>
          <w:sz w:val="32"/>
          <w:szCs w:val="32"/>
          <w:lang w:val="zh-CN"/>
        </w:rPr>
      </w:pPr>
      <w:r>
        <w:rPr>
          <w:rFonts w:hint="eastAsia" w:ascii="仿宋_GB2312" w:hAnsi="Calibri" w:eastAsia="仿宋_GB2312" w:cs="仿宋"/>
          <w:kern w:val="0"/>
          <w:sz w:val="32"/>
          <w:szCs w:val="32"/>
          <w:lang w:val="zh-CN"/>
        </w:rPr>
        <w:t>（二）用人单位考核</w:t>
      </w:r>
    </w:p>
    <w:p>
      <w:pPr>
        <w:autoSpaceDE w:val="0"/>
        <w:autoSpaceDN w:val="0"/>
        <w:adjustRightInd w:val="0"/>
        <w:spacing w:line="540" w:lineRule="exact"/>
        <w:ind w:firstLine="640"/>
        <w:rPr>
          <w:rFonts w:hint="eastAsia" w:ascii="仿宋_GB2312" w:hAnsi="Calibri" w:eastAsia="仿宋_GB2312" w:cs="仿宋"/>
          <w:kern w:val="0"/>
          <w:sz w:val="32"/>
          <w:szCs w:val="32"/>
          <w:lang w:val="zh-CN"/>
        </w:rPr>
      </w:pPr>
      <w:r>
        <w:rPr>
          <w:rFonts w:hint="eastAsia" w:ascii="仿宋_GB2312" w:hAnsi="Calibri" w:eastAsia="仿宋_GB2312" w:cs="仿宋"/>
          <w:kern w:val="0"/>
          <w:sz w:val="32"/>
          <w:szCs w:val="32"/>
          <w:lang w:val="zh-CN"/>
        </w:rPr>
        <w:t>用人单位对应聘人员的科研水平、研究方向与学科的融合情况进行全面评估，并对教育背景、教学能力、科研实力等进行综合考核，并将考核意见提交人事处。</w:t>
      </w:r>
    </w:p>
    <w:p>
      <w:pPr>
        <w:autoSpaceDE w:val="0"/>
        <w:autoSpaceDN w:val="0"/>
        <w:adjustRightInd w:val="0"/>
        <w:spacing w:line="540" w:lineRule="exact"/>
        <w:ind w:firstLine="640"/>
        <w:rPr>
          <w:rFonts w:hint="eastAsia" w:ascii="仿宋_GB2312" w:hAnsi="Calibri" w:eastAsia="仿宋_GB2312" w:cs="仿宋"/>
          <w:kern w:val="0"/>
          <w:sz w:val="32"/>
          <w:szCs w:val="32"/>
          <w:lang w:val="zh-CN"/>
        </w:rPr>
      </w:pPr>
      <w:r>
        <w:rPr>
          <w:rFonts w:hint="eastAsia" w:ascii="仿宋_GB2312" w:hAnsi="Calibri" w:eastAsia="仿宋_GB2312" w:cs="仿宋"/>
          <w:kern w:val="0"/>
          <w:sz w:val="32"/>
          <w:szCs w:val="32"/>
          <w:lang w:val="zh-CN"/>
        </w:rPr>
        <w:t>(三)学校考核</w:t>
      </w:r>
    </w:p>
    <w:p>
      <w:pPr>
        <w:autoSpaceDE w:val="0"/>
        <w:autoSpaceDN w:val="0"/>
        <w:adjustRightInd w:val="0"/>
        <w:spacing w:line="540" w:lineRule="exact"/>
        <w:ind w:firstLine="640"/>
        <w:rPr>
          <w:rFonts w:hint="eastAsia" w:ascii="仿宋_GB2312" w:hAnsi="Calibri" w:eastAsia="仿宋_GB2312" w:cs="仿宋"/>
          <w:kern w:val="0"/>
          <w:sz w:val="32"/>
          <w:szCs w:val="32"/>
          <w:lang w:val="zh-CN"/>
        </w:rPr>
      </w:pPr>
      <w:r>
        <w:rPr>
          <w:rFonts w:hint="eastAsia" w:ascii="仿宋_GB2312" w:hAnsi="Calibri" w:eastAsia="仿宋_GB2312" w:cs="仿宋"/>
          <w:kern w:val="0"/>
          <w:sz w:val="32"/>
          <w:szCs w:val="32"/>
          <w:lang w:val="zh-CN"/>
        </w:rPr>
        <w:t>1.专家考察。学校评估小组根据应聘人员的教育背景、科研业绩、开展教学和科研的能力等进行综合评价，提出引进意见；</w:t>
      </w:r>
    </w:p>
    <w:p>
      <w:pPr>
        <w:autoSpaceDE w:val="0"/>
        <w:autoSpaceDN w:val="0"/>
        <w:adjustRightInd w:val="0"/>
        <w:spacing w:line="540" w:lineRule="exact"/>
        <w:ind w:firstLine="640"/>
        <w:rPr>
          <w:rFonts w:hint="eastAsia" w:ascii="仿宋_GB2312" w:hAnsi="Calibri" w:eastAsia="仿宋_GB2312" w:cs="仿宋"/>
          <w:kern w:val="0"/>
          <w:sz w:val="32"/>
          <w:szCs w:val="32"/>
          <w:lang w:val="zh-CN"/>
        </w:rPr>
      </w:pPr>
      <w:r>
        <w:rPr>
          <w:rFonts w:hint="eastAsia" w:ascii="仿宋_GB2312" w:hAnsi="Calibri" w:eastAsia="仿宋_GB2312" w:cs="仿宋"/>
          <w:kern w:val="0"/>
          <w:sz w:val="32"/>
          <w:szCs w:val="32"/>
          <w:lang w:val="zh-CN"/>
        </w:rPr>
        <w:t>2.面试。学校人事人才工作领导小组进行面试。</w:t>
      </w:r>
    </w:p>
    <w:p>
      <w:pPr>
        <w:autoSpaceDE w:val="0"/>
        <w:autoSpaceDN w:val="0"/>
        <w:adjustRightInd w:val="0"/>
        <w:spacing w:line="540" w:lineRule="exact"/>
        <w:ind w:firstLine="640"/>
        <w:rPr>
          <w:rFonts w:hint="eastAsia" w:ascii="仿宋_GB2312" w:hAnsi="Calibri" w:eastAsia="仿宋_GB2312" w:cs="仿宋"/>
          <w:kern w:val="0"/>
          <w:sz w:val="32"/>
          <w:szCs w:val="32"/>
          <w:lang w:val="zh-CN"/>
        </w:rPr>
      </w:pPr>
      <w:r>
        <w:rPr>
          <w:rFonts w:hint="eastAsia" w:ascii="仿宋_GB2312" w:hAnsi="Calibri" w:eastAsia="仿宋_GB2312" w:cs="仿宋"/>
          <w:color w:val="333333"/>
          <w:kern w:val="0"/>
          <w:sz w:val="32"/>
          <w:szCs w:val="32"/>
          <w:lang w:val="zh-CN"/>
        </w:rPr>
        <w:t>（四）学校审定</w:t>
      </w:r>
    </w:p>
    <w:p>
      <w:pPr>
        <w:autoSpaceDE w:val="0"/>
        <w:autoSpaceDN w:val="0"/>
        <w:adjustRightInd w:val="0"/>
        <w:spacing w:line="540" w:lineRule="exact"/>
        <w:ind w:firstLine="640"/>
        <w:rPr>
          <w:rFonts w:hint="eastAsia" w:ascii="仿宋_GB2312" w:hAnsi="Calibri" w:eastAsia="仿宋_GB2312" w:cs="仿宋"/>
          <w:kern w:val="0"/>
          <w:sz w:val="32"/>
          <w:szCs w:val="32"/>
          <w:lang w:val="zh-CN"/>
        </w:rPr>
      </w:pPr>
      <w:r>
        <w:rPr>
          <w:rFonts w:hint="eastAsia" w:ascii="仿宋_GB2312" w:hAnsi="Calibri" w:eastAsia="仿宋_GB2312" w:cs="仿宋"/>
          <w:kern w:val="0"/>
          <w:sz w:val="32"/>
          <w:szCs w:val="32"/>
          <w:lang w:val="zh-CN"/>
        </w:rPr>
        <w:t>校长办公会议研究通过后办理相关手续。</w:t>
      </w:r>
    </w:p>
    <w:p>
      <w:pPr>
        <w:autoSpaceDE w:val="0"/>
        <w:autoSpaceDN w:val="0"/>
        <w:adjustRightInd w:val="0"/>
        <w:spacing w:before="312" w:beforeLines="100" w:after="156" w:afterLines="50" w:line="540" w:lineRule="exact"/>
        <w:jc w:val="center"/>
        <w:rPr>
          <w:rFonts w:hint="eastAsia" w:ascii="仿宋_GB2312" w:hAnsi="Calibri" w:eastAsia="仿宋_GB2312" w:cs="仿宋"/>
          <w:color w:val="333333"/>
          <w:kern w:val="0"/>
          <w:sz w:val="32"/>
          <w:szCs w:val="32"/>
          <w:lang w:val="zh-CN"/>
        </w:rPr>
      </w:pPr>
      <w:r>
        <w:rPr>
          <w:rFonts w:hint="eastAsia" w:ascii="仿宋_GB2312" w:hAnsi="Calibri" w:eastAsia="仿宋_GB2312" w:cs="仿宋"/>
          <w:b/>
          <w:color w:val="333333"/>
          <w:kern w:val="0"/>
          <w:sz w:val="32"/>
          <w:szCs w:val="32"/>
          <w:lang w:val="zh-CN"/>
        </w:rPr>
        <w:t xml:space="preserve">第五章 </w:t>
      </w:r>
      <w:r>
        <w:rPr>
          <w:rFonts w:hint="eastAsia" w:ascii="仿宋_GB2312" w:hAnsi="Calibri" w:eastAsia="仿宋_GB2312" w:cs="仿宋"/>
          <w:color w:val="333333"/>
          <w:kern w:val="0"/>
          <w:sz w:val="32"/>
          <w:szCs w:val="32"/>
          <w:lang w:val="zh-CN"/>
        </w:rPr>
        <w:t xml:space="preserve"> 管  理</w:t>
      </w:r>
    </w:p>
    <w:p>
      <w:pPr>
        <w:autoSpaceDE w:val="0"/>
        <w:autoSpaceDN w:val="0"/>
        <w:adjustRightInd w:val="0"/>
        <w:spacing w:line="540" w:lineRule="exact"/>
        <w:ind w:firstLine="643"/>
        <w:rPr>
          <w:rFonts w:hint="eastAsia" w:ascii="仿宋_GB2312" w:hAnsi="Calibri" w:eastAsia="仿宋_GB2312" w:cs="仿宋"/>
          <w:kern w:val="0"/>
          <w:sz w:val="32"/>
          <w:szCs w:val="32"/>
          <w:lang w:val="zh-CN"/>
        </w:rPr>
      </w:pPr>
      <w:r>
        <w:rPr>
          <w:rFonts w:hint="eastAsia" w:ascii="仿宋_GB2312" w:hAnsi="Calibri" w:eastAsia="仿宋_GB2312" w:cs="仿宋"/>
          <w:b/>
          <w:bCs/>
          <w:color w:val="333333"/>
          <w:kern w:val="0"/>
          <w:sz w:val="32"/>
          <w:szCs w:val="32"/>
          <w:lang w:val="zh-CN"/>
        </w:rPr>
        <w:t>第十四条</w:t>
      </w:r>
      <w:r>
        <w:rPr>
          <w:rFonts w:hint="eastAsia" w:ascii="仿宋_GB2312" w:hAnsi="Calibri" w:eastAsia="仿宋_GB2312" w:cs="宋体"/>
          <w:color w:val="333333"/>
          <w:kern w:val="0"/>
          <w:sz w:val="32"/>
          <w:szCs w:val="32"/>
          <w:lang w:val="zh-CN"/>
        </w:rPr>
        <w:t xml:space="preserve">  </w:t>
      </w:r>
      <w:r>
        <w:rPr>
          <w:rFonts w:hint="eastAsia" w:ascii="仿宋_GB2312" w:hAnsi="Calibri" w:eastAsia="仿宋_GB2312" w:cs="仿宋"/>
          <w:color w:val="333333"/>
          <w:kern w:val="0"/>
          <w:sz w:val="32"/>
          <w:szCs w:val="32"/>
          <w:lang w:val="zh-CN"/>
        </w:rPr>
        <w:t>引进人才的服务期为5年。学校定向培养的博士研究生服务期为6年。</w:t>
      </w:r>
    </w:p>
    <w:p>
      <w:pPr>
        <w:autoSpaceDE w:val="0"/>
        <w:autoSpaceDN w:val="0"/>
        <w:adjustRightInd w:val="0"/>
        <w:spacing w:line="540" w:lineRule="exact"/>
        <w:ind w:firstLine="630" w:firstLineChars="196"/>
        <w:rPr>
          <w:rFonts w:hint="eastAsia" w:ascii="仿宋_GB2312" w:hAnsi="Calibri" w:eastAsia="仿宋_GB2312" w:cs="仿宋"/>
          <w:color w:val="333333"/>
          <w:kern w:val="0"/>
          <w:sz w:val="32"/>
          <w:szCs w:val="32"/>
          <w:lang w:val="zh-CN"/>
        </w:rPr>
      </w:pPr>
      <w:r>
        <w:rPr>
          <w:rFonts w:hint="eastAsia" w:ascii="仿宋_GB2312" w:hAnsi="Calibri" w:eastAsia="仿宋_GB2312" w:cs="仿宋"/>
          <w:b/>
          <w:bCs/>
          <w:color w:val="333333"/>
          <w:kern w:val="0"/>
          <w:sz w:val="32"/>
          <w:szCs w:val="32"/>
          <w:lang w:val="zh-CN"/>
        </w:rPr>
        <w:t>第十五条</w:t>
      </w:r>
      <w:r>
        <w:rPr>
          <w:rFonts w:hint="eastAsia" w:ascii="仿宋_GB2312" w:hAnsi="Calibri" w:eastAsia="仿宋_GB2312" w:cs="宋体"/>
          <w:color w:val="333333"/>
          <w:kern w:val="0"/>
          <w:sz w:val="32"/>
          <w:szCs w:val="32"/>
          <w:lang w:val="zh-CN"/>
        </w:rPr>
        <w:t xml:space="preserve">  </w:t>
      </w:r>
      <w:r>
        <w:rPr>
          <w:rFonts w:hint="eastAsia" w:ascii="仿宋_GB2312" w:hAnsi="Calibri" w:eastAsia="仿宋_GB2312" w:cs="仿宋"/>
          <w:color w:val="333333"/>
          <w:kern w:val="0"/>
          <w:sz w:val="32"/>
          <w:szCs w:val="32"/>
          <w:lang w:val="zh-CN"/>
        </w:rPr>
        <w:t>学校对引进人才实行合约管理，与引进人才签订《宁夏师范学院引进人才协议书》，按照引进层次，明确其工作职责、目标任务、权利与义务、违约责任等，协议内容是引进人才服务期考核的主要依据。</w:t>
      </w:r>
    </w:p>
    <w:p>
      <w:pPr>
        <w:autoSpaceDE w:val="0"/>
        <w:autoSpaceDN w:val="0"/>
        <w:adjustRightInd w:val="0"/>
        <w:spacing w:line="540" w:lineRule="exact"/>
        <w:ind w:firstLine="640"/>
        <w:rPr>
          <w:rFonts w:hint="eastAsia" w:ascii="仿宋_GB2312" w:hAnsi="Calibri" w:eastAsia="仿宋_GB2312" w:cs="仿宋"/>
          <w:color w:val="333333"/>
          <w:kern w:val="0"/>
          <w:sz w:val="32"/>
          <w:szCs w:val="32"/>
          <w:lang w:val="zh-CN"/>
        </w:rPr>
      </w:pPr>
      <w:r>
        <w:rPr>
          <w:rFonts w:hint="eastAsia" w:ascii="仿宋_GB2312" w:hAnsi="Calibri" w:eastAsia="仿宋_GB2312" w:cs="仿宋"/>
          <w:color w:val="333333"/>
          <w:kern w:val="0"/>
          <w:sz w:val="32"/>
          <w:szCs w:val="32"/>
          <w:lang w:val="zh-CN"/>
        </w:rPr>
        <w:t>凡学校引进人才，服务期未满申请调离或者未完成聘期任务者，本人应承担违约责任，其违约金按下列方法计算：</w:t>
      </w:r>
    </w:p>
    <w:p>
      <w:pPr>
        <w:autoSpaceDE w:val="0"/>
        <w:autoSpaceDN w:val="0"/>
        <w:adjustRightInd w:val="0"/>
        <w:spacing w:after="120" w:line="540" w:lineRule="exact"/>
        <w:ind w:firstLine="640"/>
        <w:rPr>
          <w:rFonts w:hint="eastAsia" w:ascii="仿宋_GB2312" w:hAnsi="Calibri" w:eastAsia="仿宋_GB2312" w:cs="仿宋"/>
          <w:color w:val="333333"/>
          <w:kern w:val="0"/>
          <w:sz w:val="32"/>
          <w:szCs w:val="32"/>
          <w:lang w:val="zh-CN"/>
        </w:rPr>
      </w:pPr>
      <w:r>
        <w:rPr>
          <w:rFonts w:hint="eastAsia" w:ascii="仿宋_GB2312" w:hAnsi="Calibri" w:eastAsia="仿宋_GB2312" w:cs="仿宋"/>
          <w:color w:val="333333"/>
          <w:kern w:val="0"/>
          <w:sz w:val="32"/>
          <w:szCs w:val="32"/>
          <w:lang w:val="zh-CN"/>
        </w:rPr>
        <w:t>违约金=所差服务年限×（购房补贴+安家费+科研启动费）÷规定服务年限</w:t>
      </w:r>
    </w:p>
    <w:p>
      <w:pPr>
        <w:autoSpaceDE w:val="0"/>
        <w:autoSpaceDN w:val="0"/>
        <w:adjustRightInd w:val="0"/>
        <w:spacing w:line="540" w:lineRule="exact"/>
        <w:ind w:firstLine="630" w:firstLineChars="196"/>
        <w:rPr>
          <w:rFonts w:hint="eastAsia" w:ascii="仿宋_GB2312" w:hAnsi="Calibri" w:eastAsia="仿宋_GB2312" w:cs="Calibri"/>
          <w:kern w:val="0"/>
          <w:sz w:val="32"/>
          <w:szCs w:val="32"/>
        </w:rPr>
      </w:pPr>
      <w:r>
        <w:rPr>
          <w:rFonts w:hint="eastAsia" w:ascii="仿宋_GB2312" w:hAnsi="Calibri" w:eastAsia="仿宋_GB2312" w:cs="仿宋"/>
          <w:b/>
          <w:bCs/>
          <w:kern w:val="0"/>
          <w:sz w:val="32"/>
          <w:szCs w:val="32"/>
          <w:lang w:val="zh-CN"/>
        </w:rPr>
        <w:t xml:space="preserve">第十六条  </w:t>
      </w:r>
      <w:r>
        <w:rPr>
          <w:rFonts w:hint="eastAsia" w:ascii="仿宋_GB2312" w:hAnsi="Calibri" w:eastAsia="仿宋_GB2312" w:cs="仿宋"/>
          <w:color w:val="333333"/>
          <w:kern w:val="0"/>
          <w:sz w:val="32"/>
          <w:szCs w:val="32"/>
          <w:lang w:val="zh-CN"/>
        </w:rPr>
        <w:t>安家费由个人提出申请，填写《宁夏师范学院引进人才安家费申请表》（附件3），由人事处审核，财务处发放。</w:t>
      </w:r>
      <w:r>
        <w:rPr>
          <w:rFonts w:hint="eastAsia" w:ascii="仿宋_GB2312" w:hAnsi="Calibri" w:eastAsia="仿宋_GB2312" w:cs="仿宋"/>
          <w:kern w:val="0"/>
          <w:sz w:val="32"/>
          <w:szCs w:val="32"/>
          <w:lang w:val="zh-CN"/>
        </w:rPr>
        <w:t xml:space="preserve"> </w:t>
      </w:r>
      <w:r>
        <w:rPr>
          <w:rFonts w:hint="eastAsia" w:ascii="仿宋_GB2312" w:hAnsi="Calibri" w:eastAsia="仿宋_GB2312" w:cs="Calibri"/>
          <w:kern w:val="0"/>
          <w:sz w:val="32"/>
          <w:szCs w:val="32"/>
        </w:rPr>
        <w:t xml:space="preserve"> </w:t>
      </w:r>
    </w:p>
    <w:p>
      <w:pPr>
        <w:autoSpaceDE w:val="0"/>
        <w:autoSpaceDN w:val="0"/>
        <w:adjustRightInd w:val="0"/>
        <w:spacing w:line="540" w:lineRule="exact"/>
        <w:ind w:firstLine="630" w:firstLineChars="196"/>
        <w:rPr>
          <w:rFonts w:hint="eastAsia" w:ascii="仿宋_GB2312" w:hAnsi="Calibri" w:eastAsia="仿宋_GB2312" w:cs="仿宋"/>
          <w:color w:val="333333"/>
          <w:kern w:val="0"/>
          <w:sz w:val="32"/>
          <w:szCs w:val="32"/>
          <w:lang w:val="zh-CN"/>
        </w:rPr>
      </w:pPr>
      <w:r>
        <w:rPr>
          <w:rFonts w:hint="eastAsia" w:ascii="仿宋_GB2312" w:hAnsi="Calibri" w:eastAsia="仿宋_GB2312" w:cs="仿宋"/>
          <w:b/>
          <w:bCs/>
          <w:kern w:val="0"/>
          <w:sz w:val="32"/>
          <w:szCs w:val="32"/>
          <w:lang w:val="zh-CN"/>
        </w:rPr>
        <w:t xml:space="preserve">第十七条  </w:t>
      </w:r>
      <w:r>
        <w:rPr>
          <w:rFonts w:hint="eastAsia" w:ascii="仿宋_GB2312" w:hAnsi="Calibri" w:eastAsia="仿宋_GB2312" w:cs="仿宋"/>
          <w:color w:val="333333"/>
          <w:kern w:val="0"/>
          <w:sz w:val="32"/>
          <w:szCs w:val="32"/>
          <w:lang w:val="zh-CN"/>
        </w:rPr>
        <w:t>科研启动费由引进人才填写《宁夏师范学院引进人才科研启动费申请表》（附件4）和《宁夏师范学院引进人才科研项目任务书》（附件5），经人事处、科研处审核后实施。科研启动费以项目形式管理，由科研处负责日常管理。引进人才科研启动经费的管理和使用，严格按照科研经费的管理规定执行，接受有关部门的监督与审计。</w:t>
      </w:r>
    </w:p>
    <w:p>
      <w:pPr>
        <w:autoSpaceDE w:val="0"/>
        <w:autoSpaceDN w:val="0"/>
        <w:adjustRightInd w:val="0"/>
        <w:spacing w:line="540" w:lineRule="exact"/>
        <w:ind w:firstLine="643"/>
        <w:rPr>
          <w:rFonts w:hint="eastAsia" w:ascii="仿宋_GB2312" w:hAnsi="Calibri" w:eastAsia="仿宋_GB2312" w:cs="仿宋"/>
          <w:kern w:val="0"/>
          <w:sz w:val="32"/>
          <w:szCs w:val="32"/>
          <w:lang w:val="zh-CN"/>
        </w:rPr>
      </w:pPr>
      <w:r>
        <w:rPr>
          <w:rFonts w:hint="eastAsia" w:ascii="仿宋_GB2312" w:hAnsi="Calibri" w:eastAsia="仿宋_GB2312" w:cs="仿宋"/>
          <w:b/>
          <w:bCs/>
          <w:color w:val="333333"/>
          <w:kern w:val="0"/>
          <w:sz w:val="32"/>
          <w:szCs w:val="32"/>
          <w:lang w:val="zh-CN"/>
        </w:rPr>
        <w:t>第十八条</w:t>
      </w:r>
      <w:r>
        <w:rPr>
          <w:rFonts w:hint="eastAsia" w:ascii="仿宋_GB2312" w:hAnsi="Calibri" w:eastAsia="仿宋_GB2312" w:cs="宋体"/>
          <w:color w:val="333333"/>
          <w:kern w:val="0"/>
          <w:sz w:val="32"/>
          <w:szCs w:val="32"/>
          <w:lang w:val="zh-CN"/>
        </w:rPr>
        <w:t xml:space="preserve"> </w:t>
      </w:r>
      <w:r>
        <w:rPr>
          <w:rFonts w:hint="eastAsia" w:ascii="仿宋_GB2312" w:hAnsi="Calibri" w:eastAsia="仿宋_GB2312" w:cs="仿宋"/>
          <w:color w:val="333333"/>
          <w:kern w:val="0"/>
          <w:sz w:val="32"/>
          <w:szCs w:val="32"/>
          <w:lang w:val="zh-CN"/>
        </w:rPr>
        <w:t xml:space="preserve"> 引进人才实行校院两级管理，学校进行宏观管理，重点做好服务期满考核；用人单位负责日常管理和试用期、年度和中期考核，并配合学校做好服务期满考核。</w:t>
      </w:r>
    </w:p>
    <w:p>
      <w:pPr>
        <w:autoSpaceDE w:val="0"/>
        <w:autoSpaceDN w:val="0"/>
        <w:adjustRightInd w:val="0"/>
        <w:spacing w:line="540" w:lineRule="exact"/>
        <w:ind w:firstLine="643"/>
        <w:rPr>
          <w:rFonts w:hint="eastAsia" w:ascii="仿宋_GB2312" w:hAnsi="Calibri" w:eastAsia="仿宋_GB2312" w:cs="仿宋"/>
          <w:kern w:val="0"/>
          <w:sz w:val="32"/>
          <w:szCs w:val="32"/>
          <w:lang w:val="zh-CN"/>
        </w:rPr>
      </w:pPr>
      <w:r>
        <w:rPr>
          <w:rFonts w:hint="eastAsia" w:ascii="仿宋_GB2312" w:hAnsi="Calibri" w:eastAsia="仿宋_GB2312" w:cs="仿宋"/>
          <w:b/>
          <w:bCs/>
          <w:color w:val="333333"/>
          <w:kern w:val="0"/>
          <w:sz w:val="32"/>
          <w:szCs w:val="32"/>
          <w:lang w:val="zh-CN"/>
        </w:rPr>
        <w:t xml:space="preserve">第十九条  </w:t>
      </w:r>
      <w:r>
        <w:rPr>
          <w:rFonts w:hint="eastAsia" w:ascii="仿宋_GB2312" w:hAnsi="Calibri" w:eastAsia="仿宋_GB2312" w:cs="仿宋"/>
          <w:color w:val="333333"/>
          <w:kern w:val="0"/>
          <w:sz w:val="32"/>
          <w:szCs w:val="32"/>
          <w:lang w:val="zh-CN"/>
        </w:rPr>
        <w:t>对于夫妻双方均符合第四层次的博士，按各自条件分别执行。</w:t>
      </w:r>
    </w:p>
    <w:p>
      <w:pPr>
        <w:autoSpaceDE w:val="0"/>
        <w:autoSpaceDN w:val="0"/>
        <w:adjustRightInd w:val="0"/>
        <w:spacing w:line="540" w:lineRule="exact"/>
        <w:ind w:firstLine="643"/>
        <w:rPr>
          <w:rFonts w:hint="eastAsia" w:ascii="仿宋_GB2312" w:hAnsi="Calibri" w:eastAsia="仿宋_GB2312" w:cs="仿宋"/>
          <w:kern w:val="0"/>
          <w:sz w:val="32"/>
          <w:szCs w:val="32"/>
          <w:lang w:val="zh-CN"/>
        </w:rPr>
      </w:pPr>
      <w:r>
        <w:rPr>
          <w:rFonts w:hint="eastAsia" w:ascii="仿宋_GB2312" w:hAnsi="Calibri" w:eastAsia="仿宋_GB2312" w:cs="仿宋"/>
          <w:b/>
          <w:bCs/>
          <w:color w:val="333333"/>
          <w:kern w:val="0"/>
          <w:sz w:val="32"/>
          <w:szCs w:val="32"/>
          <w:lang w:val="zh-CN"/>
        </w:rPr>
        <w:t>第二十条</w:t>
      </w:r>
      <w:r>
        <w:rPr>
          <w:rFonts w:hint="eastAsia" w:ascii="仿宋_GB2312" w:hAnsi="Calibri" w:eastAsia="仿宋_GB2312" w:cs="宋体"/>
          <w:color w:val="333333"/>
          <w:kern w:val="0"/>
          <w:sz w:val="32"/>
          <w:szCs w:val="32"/>
          <w:lang w:val="zh-CN"/>
        </w:rPr>
        <w:t xml:space="preserve">  </w:t>
      </w:r>
      <w:r>
        <w:rPr>
          <w:rFonts w:hint="eastAsia" w:ascii="仿宋_GB2312" w:hAnsi="Calibri" w:eastAsia="仿宋_GB2312" w:cs="仿宋"/>
          <w:color w:val="333333"/>
          <w:kern w:val="0"/>
          <w:sz w:val="32"/>
          <w:szCs w:val="32"/>
          <w:lang w:val="zh-CN"/>
        </w:rPr>
        <w:t>引进人才的配偶，学校根据自治区政策和本人实际，符合调动的可随调，符合公开招聘条件的参加公开招聘，以上都不符合的，校内安排工作，纳入编制外管理。</w:t>
      </w:r>
    </w:p>
    <w:p>
      <w:pPr>
        <w:autoSpaceDE w:val="0"/>
        <w:autoSpaceDN w:val="0"/>
        <w:adjustRightInd w:val="0"/>
        <w:spacing w:line="540" w:lineRule="exact"/>
        <w:ind w:firstLine="643"/>
        <w:jc w:val="left"/>
        <w:rPr>
          <w:rFonts w:hint="eastAsia" w:ascii="仿宋_GB2312" w:hAnsi="Calibri" w:eastAsia="仿宋_GB2312" w:cs="仿宋"/>
          <w:color w:val="333333"/>
          <w:kern w:val="0"/>
          <w:sz w:val="32"/>
          <w:szCs w:val="32"/>
          <w:lang w:val="zh-CN"/>
        </w:rPr>
      </w:pPr>
      <w:r>
        <w:rPr>
          <w:rFonts w:hint="eastAsia" w:ascii="仿宋_GB2312" w:hAnsi="Calibri" w:eastAsia="仿宋_GB2312" w:cs="仿宋"/>
          <w:b/>
          <w:bCs/>
          <w:color w:val="333333"/>
          <w:kern w:val="0"/>
          <w:sz w:val="32"/>
          <w:szCs w:val="32"/>
          <w:lang w:val="zh-CN"/>
        </w:rPr>
        <w:t>第二十一条</w:t>
      </w:r>
      <w:r>
        <w:rPr>
          <w:rFonts w:hint="eastAsia" w:ascii="仿宋_GB2312" w:hAnsi="Calibri" w:eastAsia="仿宋_GB2312" w:cs="仿宋"/>
          <w:color w:val="333333"/>
          <w:kern w:val="0"/>
          <w:sz w:val="32"/>
          <w:szCs w:val="32"/>
          <w:lang w:val="zh-CN"/>
        </w:rPr>
        <w:t xml:space="preserve">  学校引进、培养人才在学校工作满3年后，方可参加中、长期脱产在职进修访学。</w:t>
      </w:r>
    </w:p>
    <w:p>
      <w:pPr>
        <w:autoSpaceDE w:val="0"/>
        <w:autoSpaceDN w:val="0"/>
        <w:adjustRightInd w:val="0"/>
        <w:spacing w:before="312" w:beforeLines="100" w:after="156" w:afterLines="50" w:line="540" w:lineRule="exact"/>
        <w:jc w:val="center"/>
        <w:rPr>
          <w:rFonts w:hint="eastAsia" w:ascii="仿宋_GB2312" w:hAnsi="Calibri" w:eastAsia="仿宋_GB2312" w:cs="仿宋"/>
          <w:color w:val="333333"/>
          <w:kern w:val="0"/>
          <w:sz w:val="32"/>
          <w:szCs w:val="32"/>
          <w:lang w:val="zh-CN"/>
        </w:rPr>
      </w:pPr>
      <w:r>
        <w:rPr>
          <w:rFonts w:hint="eastAsia" w:ascii="仿宋_GB2312" w:hAnsi="Calibri" w:eastAsia="仿宋_GB2312" w:cs="仿宋"/>
          <w:b/>
          <w:color w:val="333333"/>
          <w:kern w:val="0"/>
          <w:sz w:val="32"/>
          <w:szCs w:val="32"/>
          <w:lang w:val="zh-CN"/>
        </w:rPr>
        <w:t xml:space="preserve">第六章  </w:t>
      </w:r>
      <w:r>
        <w:rPr>
          <w:rFonts w:hint="eastAsia" w:ascii="仿宋_GB2312" w:hAnsi="Calibri" w:eastAsia="仿宋_GB2312" w:cs="仿宋"/>
          <w:color w:val="333333"/>
          <w:kern w:val="0"/>
          <w:sz w:val="32"/>
          <w:szCs w:val="32"/>
          <w:lang w:val="zh-CN"/>
        </w:rPr>
        <w:t>附  则</w:t>
      </w:r>
    </w:p>
    <w:p>
      <w:pPr>
        <w:autoSpaceDE w:val="0"/>
        <w:autoSpaceDN w:val="0"/>
        <w:adjustRightInd w:val="0"/>
        <w:spacing w:line="540" w:lineRule="exact"/>
        <w:ind w:firstLine="643"/>
        <w:rPr>
          <w:rFonts w:hint="eastAsia" w:ascii="仿宋_GB2312" w:hAnsi="Calibri" w:eastAsia="仿宋_GB2312" w:cs="仿宋"/>
          <w:color w:val="FF0000"/>
          <w:kern w:val="0"/>
          <w:sz w:val="32"/>
          <w:szCs w:val="32"/>
          <w:lang w:val="zh-CN"/>
        </w:rPr>
      </w:pPr>
      <w:r>
        <w:rPr>
          <w:rFonts w:hint="eastAsia" w:ascii="仿宋_GB2312" w:hAnsi="Calibri" w:eastAsia="仿宋_GB2312" w:cs="仿宋"/>
          <w:b/>
          <w:bCs/>
          <w:color w:val="333333"/>
          <w:kern w:val="0"/>
          <w:sz w:val="32"/>
          <w:szCs w:val="32"/>
          <w:lang w:val="zh-CN"/>
        </w:rPr>
        <w:t xml:space="preserve">第二十二条  </w:t>
      </w:r>
      <w:r>
        <w:rPr>
          <w:rFonts w:hint="eastAsia" w:ascii="仿宋_GB2312" w:hAnsi="Calibri" w:eastAsia="仿宋_GB2312" w:cs="仿宋"/>
          <w:color w:val="333333"/>
          <w:kern w:val="0"/>
          <w:sz w:val="32"/>
          <w:szCs w:val="32"/>
          <w:lang w:val="zh-CN"/>
        </w:rPr>
        <w:t>本办法自发布之日起执行。《宁夏师范学院稳才、育才和引才的规定》（院党发〔2014〕40号）同时废止。在本办法出台之前签订的有关协议，仍按原协议执行</w:t>
      </w:r>
      <w:r>
        <w:rPr>
          <w:rFonts w:hint="eastAsia" w:ascii="仿宋_GB2312" w:hAnsi="Calibri" w:eastAsia="仿宋_GB2312" w:cs="仿宋"/>
          <w:kern w:val="0"/>
          <w:sz w:val="32"/>
          <w:szCs w:val="32"/>
          <w:lang w:val="zh-CN"/>
        </w:rPr>
        <w:t>。</w:t>
      </w:r>
    </w:p>
    <w:p>
      <w:pPr>
        <w:autoSpaceDE w:val="0"/>
        <w:autoSpaceDN w:val="0"/>
        <w:adjustRightInd w:val="0"/>
        <w:spacing w:line="540" w:lineRule="exact"/>
        <w:ind w:firstLine="643"/>
        <w:rPr>
          <w:rFonts w:hint="eastAsia" w:ascii="仿宋_GB2312" w:hAnsi="Calibri" w:eastAsia="仿宋_GB2312" w:cs="仿宋"/>
          <w:color w:val="333333"/>
          <w:kern w:val="0"/>
          <w:sz w:val="32"/>
          <w:szCs w:val="32"/>
          <w:lang w:val="zh-CN"/>
        </w:rPr>
      </w:pPr>
      <w:r>
        <w:rPr>
          <w:rFonts w:hint="eastAsia" w:ascii="仿宋_GB2312" w:hAnsi="Calibri" w:eastAsia="仿宋_GB2312" w:cs="仿宋"/>
          <w:b/>
          <w:bCs/>
          <w:color w:val="333333"/>
          <w:kern w:val="0"/>
          <w:sz w:val="32"/>
          <w:szCs w:val="32"/>
          <w:lang w:val="zh-CN"/>
        </w:rPr>
        <w:t>第二十三条</w:t>
      </w:r>
      <w:r>
        <w:rPr>
          <w:rFonts w:hint="eastAsia" w:ascii="仿宋_GB2312" w:hAnsi="Calibri" w:eastAsia="仿宋_GB2312" w:cs="仿宋"/>
          <w:color w:val="333333"/>
          <w:kern w:val="0"/>
          <w:sz w:val="32"/>
          <w:szCs w:val="32"/>
          <w:lang w:val="zh-CN"/>
        </w:rPr>
        <w:t>　本办法由人事处负责解释。</w:t>
      </w:r>
    </w:p>
    <w:p>
      <w:pPr>
        <w:autoSpaceDE w:val="0"/>
        <w:autoSpaceDN w:val="0"/>
        <w:adjustRightInd w:val="0"/>
        <w:spacing w:line="540" w:lineRule="exact"/>
        <w:ind w:firstLine="640"/>
        <w:rPr>
          <w:rFonts w:hint="eastAsia" w:ascii="仿宋_GB2312" w:hAnsi="Calibri" w:eastAsia="仿宋_GB2312" w:cs="仿宋"/>
          <w:color w:val="333333"/>
          <w:kern w:val="0"/>
          <w:sz w:val="32"/>
          <w:szCs w:val="32"/>
          <w:lang w:val="zh-CN"/>
        </w:rPr>
      </w:pPr>
    </w:p>
    <w:p>
      <w:pPr>
        <w:autoSpaceDE w:val="0"/>
        <w:autoSpaceDN w:val="0"/>
        <w:adjustRightInd w:val="0"/>
        <w:spacing w:line="540" w:lineRule="exact"/>
        <w:ind w:firstLine="640"/>
        <w:rPr>
          <w:rFonts w:hint="eastAsia" w:ascii="仿宋_GB2312" w:hAnsi="Calibri" w:eastAsia="仿宋_GB2312" w:cs="仿宋"/>
          <w:kern w:val="0"/>
          <w:sz w:val="32"/>
          <w:szCs w:val="32"/>
          <w:lang w:val="zh-CN"/>
        </w:rPr>
      </w:pPr>
      <w:r>
        <w:rPr>
          <w:rFonts w:hint="eastAsia" w:ascii="仿宋_GB2312" w:hAnsi="Calibri" w:eastAsia="仿宋_GB2312" w:cs="仿宋"/>
          <w:kern w:val="0"/>
          <w:sz w:val="32"/>
          <w:szCs w:val="32"/>
          <w:lang w:val="zh-CN"/>
        </w:rPr>
        <w:t>附表：</w:t>
      </w:r>
      <w:r>
        <w:rPr>
          <w:rFonts w:hint="eastAsia" w:ascii="仿宋_GB2312" w:hAnsi="Calibri" w:eastAsia="仿宋_GB2312" w:cs="仿宋"/>
          <w:color w:val="333333"/>
          <w:kern w:val="0"/>
          <w:sz w:val="32"/>
          <w:szCs w:val="32"/>
          <w:lang w:val="zh-CN"/>
        </w:rPr>
        <w:t>宁夏师范学院引进人才待遇一览表</w:t>
      </w:r>
    </w:p>
    <w:p>
      <w:pPr>
        <w:autoSpaceDE w:val="0"/>
        <w:autoSpaceDN w:val="0"/>
        <w:adjustRightInd w:val="0"/>
        <w:spacing w:line="540" w:lineRule="exact"/>
        <w:ind w:firstLine="640"/>
        <w:rPr>
          <w:rFonts w:hint="eastAsia" w:ascii="仿宋_GB2312" w:hAnsi="Calibri" w:eastAsia="仿宋_GB2312" w:cs="仿宋"/>
          <w:color w:val="333333"/>
          <w:kern w:val="0"/>
          <w:sz w:val="32"/>
          <w:szCs w:val="32"/>
          <w:lang w:val="zh-CN"/>
        </w:rPr>
      </w:pPr>
      <w:r>
        <w:rPr>
          <w:rFonts w:hint="eastAsia" w:ascii="仿宋_GB2312" w:hAnsi="Calibri" w:eastAsia="仿宋_GB2312" w:cs="仿宋"/>
          <w:kern w:val="0"/>
          <w:sz w:val="32"/>
          <w:szCs w:val="32"/>
          <w:lang w:val="zh-CN"/>
        </w:rPr>
        <w:t>附件：</w:t>
      </w:r>
      <w:r>
        <w:rPr>
          <w:rFonts w:hint="eastAsia" w:ascii="仿宋_GB2312" w:hAnsi="Calibri" w:eastAsia="仿宋_GB2312" w:cs="仿宋"/>
          <w:color w:val="333333"/>
          <w:kern w:val="0"/>
          <w:sz w:val="32"/>
          <w:szCs w:val="32"/>
          <w:lang w:val="zh-CN"/>
        </w:rPr>
        <w:t>1.宁夏师范学院引进人才申请表</w:t>
      </w:r>
    </w:p>
    <w:p>
      <w:pPr>
        <w:autoSpaceDE w:val="0"/>
        <w:autoSpaceDN w:val="0"/>
        <w:adjustRightInd w:val="0"/>
        <w:spacing w:line="540" w:lineRule="exact"/>
        <w:ind w:firstLine="1680"/>
        <w:rPr>
          <w:rFonts w:hint="eastAsia" w:ascii="仿宋_GB2312" w:hAnsi="Calibri" w:eastAsia="仿宋_GB2312" w:cs="仿宋"/>
          <w:color w:val="333333"/>
          <w:kern w:val="0"/>
          <w:sz w:val="32"/>
          <w:szCs w:val="32"/>
          <w:lang w:val="zh-CN"/>
        </w:rPr>
      </w:pPr>
      <w:r>
        <w:rPr>
          <w:rFonts w:hint="eastAsia" w:ascii="仿宋_GB2312" w:hAnsi="Calibri" w:eastAsia="仿宋_GB2312" w:cs="仿宋"/>
          <w:color w:val="333333"/>
          <w:kern w:val="0"/>
          <w:sz w:val="32"/>
          <w:szCs w:val="32"/>
          <w:lang w:val="zh-CN"/>
        </w:rPr>
        <w:t>2.宁夏师范学院引进人才协议书</w:t>
      </w:r>
    </w:p>
    <w:p>
      <w:pPr>
        <w:autoSpaceDE w:val="0"/>
        <w:autoSpaceDN w:val="0"/>
        <w:adjustRightInd w:val="0"/>
        <w:spacing w:line="540" w:lineRule="exact"/>
        <w:ind w:firstLine="1680"/>
        <w:rPr>
          <w:rFonts w:hint="eastAsia" w:ascii="仿宋_GB2312" w:hAnsi="Calibri" w:eastAsia="仿宋_GB2312" w:cs="仿宋"/>
          <w:color w:val="333333"/>
          <w:kern w:val="0"/>
          <w:sz w:val="32"/>
          <w:szCs w:val="32"/>
          <w:lang w:val="zh-CN"/>
        </w:rPr>
      </w:pPr>
      <w:r>
        <w:rPr>
          <w:rFonts w:hint="eastAsia" w:ascii="仿宋_GB2312" w:hAnsi="Calibri" w:eastAsia="仿宋_GB2312" w:cs="仿宋"/>
          <w:color w:val="333333"/>
          <w:kern w:val="0"/>
          <w:sz w:val="32"/>
          <w:szCs w:val="32"/>
          <w:lang w:val="zh-CN"/>
        </w:rPr>
        <w:t>3.宁夏师范学院引进人才安家费申请表</w:t>
      </w:r>
    </w:p>
    <w:p>
      <w:pPr>
        <w:autoSpaceDE w:val="0"/>
        <w:autoSpaceDN w:val="0"/>
        <w:adjustRightInd w:val="0"/>
        <w:spacing w:line="540" w:lineRule="exact"/>
        <w:ind w:firstLine="1680"/>
        <w:rPr>
          <w:rFonts w:hint="eastAsia" w:ascii="仿宋_GB2312" w:hAnsi="Calibri" w:eastAsia="仿宋_GB2312" w:cs="仿宋"/>
          <w:color w:val="333333"/>
          <w:kern w:val="0"/>
          <w:sz w:val="32"/>
          <w:szCs w:val="32"/>
          <w:lang w:val="zh-CN"/>
        </w:rPr>
      </w:pPr>
      <w:r>
        <w:rPr>
          <w:rFonts w:hint="eastAsia" w:ascii="仿宋_GB2312" w:hAnsi="Calibri" w:eastAsia="仿宋_GB2312" w:cs="仿宋"/>
          <w:color w:val="333333"/>
          <w:kern w:val="0"/>
          <w:sz w:val="32"/>
          <w:szCs w:val="32"/>
          <w:lang w:val="zh-CN"/>
        </w:rPr>
        <w:t>4.宁夏师范学院引进人才科研启动费申请表</w:t>
      </w:r>
    </w:p>
    <w:p>
      <w:pPr>
        <w:autoSpaceDE w:val="0"/>
        <w:autoSpaceDN w:val="0"/>
        <w:adjustRightInd w:val="0"/>
        <w:spacing w:line="540" w:lineRule="exact"/>
        <w:ind w:firstLine="1680"/>
        <w:rPr>
          <w:rFonts w:hint="eastAsia" w:ascii="仿宋_GB2312" w:hAnsi="Calibri" w:eastAsia="仿宋_GB2312" w:cs="仿宋"/>
          <w:color w:val="333333"/>
          <w:kern w:val="0"/>
          <w:sz w:val="32"/>
          <w:szCs w:val="32"/>
          <w:lang w:val="zh-CN"/>
        </w:rPr>
      </w:pPr>
      <w:r>
        <w:rPr>
          <w:rFonts w:hint="eastAsia" w:ascii="仿宋_GB2312" w:hAnsi="Calibri" w:eastAsia="仿宋_GB2312" w:cs="仿宋"/>
          <w:color w:val="333333"/>
          <w:kern w:val="0"/>
          <w:sz w:val="32"/>
          <w:szCs w:val="32"/>
          <w:lang w:val="zh-CN"/>
        </w:rPr>
        <w:t>5.宁夏师范学院引进人才科研项目任务书</w:t>
      </w:r>
    </w:p>
    <w:p>
      <w:pPr>
        <w:autoSpaceDE w:val="0"/>
        <w:autoSpaceDN w:val="0"/>
        <w:adjustRightInd w:val="0"/>
        <w:spacing w:line="560" w:lineRule="exact"/>
        <w:ind w:firstLine="1680"/>
        <w:rPr>
          <w:rFonts w:hint="eastAsia" w:ascii="仿宋_GB2312" w:hAnsi="Calibri" w:eastAsia="仿宋_GB2312" w:cs="仿宋"/>
          <w:kern w:val="0"/>
          <w:sz w:val="32"/>
          <w:szCs w:val="32"/>
          <w:lang w:val="zh-CN"/>
        </w:rPr>
      </w:pPr>
    </w:p>
    <w:p>
      <w:pPr>
        <w:autoSpaceDE w:val="0"/>
        <w:autoSpaceDN w:val="0"/>
        <w:adjustRightInd w:val="0"/>
        <w:spacing w:line="560" w:lineRule="exact"/>
        <w:jc w:val="left"/>
        <w:rPr>
          <w:rFonts w:hint="eastAsia" w:ascii="仿宋" w:hAnsi="Calibri" w:eastAsia="仿宋" w:cs="仿宋"/>
          <w:kern w:val="0"/>
          <w:sz w:val="32"/>
          <w:szCs w:val="32"/>
          <w:lang w:val="zh-CN"/>
        </w:rPr>
      </w:pPr>
    </w:p>
    <w:p>
      <w:pPr>
        <w:autoSpaceDE w:val="0"/>
        <w:autoSpaceDN w:val="0"/>
        <w:adjustRightInd w:val="0"/>
        <w:spacing w:line="560" w:lineRule="exact"/>
        <w:jc w:val="left"/>
        <w:rPr>
          <w:rFonts w:hint="eastAsia" w:ascii="仿宋" w:hAnsi="Calibri" w:eastAsia="仿宋" w:cs="仿宋"/>
          <w:kern w:val="0"/>
          <w:sz w:val="32"/>
          <w:szCs w:val="32"/>
          <w:lang w:val="zh-CN"/>
        </w:rPr>
      </w:pPr>
    </w:p>
    <w:p>
      <w:pPr>
        <w:autoSpaceDE w:val="0"/>
        <w:autoSpaceDN w:val="0"/>
        <w:adjustRightInd w:val="0"/>
        <w:spacing w:line="560" w:lineRule="exact"/>
        <w:jc w:val="left"/>
        <w:rPr>
          <w:rFonts w:hint="eastAsia" w:ascii="仿宋" w:hAnsi="Calibri" w:eastAsia="仿宋" w:cs="仿宋"/>
          <w:kern w:val="0"/>
          <w:sz w:val="32"/>
          <w:szCs w:val="32"/>
          <w:lang w:val="zh-CN"/>
        </w:rPr>
      </w:pPr>
    </w:p>
    <w:p>
      <w:pPr>
        <w:autoSpaceDE w:val="0"/>
        <w:autoSpaceDN w:val="0"/>
        <w:adjustRightInd w:val="0"/>
        <w:spacing w:line="560" w:lineRule="exact"/>
        <w:jc w:val="left"/>
        <w:rPr>
          <w:rFonts w:hint="eastAsia" w:ascii="仿宋" w:hAnsi="Calibri" w:eastAsia="仿宋" w:cs="仿宋"/>
          <w:kern w:val="0"/>
          <w:sz w:val="32"/>
          <w:szCs w:val="32"/>
          <w:lang w:val="zh-CN"/>
        </w:rPr>
      </w:pPr>
    </w:p>
    <w:p>
      <w:pPr>
        <w:autoSpaceDE w:val="0"/>
        <w:autoSpaceDN w:val="0"/>
        <w:adjustRightInd w:val="0"/>
        <w:spacing w:line="560" w:lineRule="exact"/>
        <w:jc w:val="left"/>
        <w:rPr>
          <w:rFonts w:hint="eastAsia" w:ascii="仿宋" w:hAnsi="Calibri" w:eastAsia="仿宋" w:cs="仿宋"/>
          <w:kern w:val="0"/>
          <w:sz w:val="32"/>
          <w:szCs w:val="32"/>
          <w:lang w:val="zh-CN"/>
        </w:rPr>
      </w:pPr>
    </w:p>
    <w:p>
      <w:pPr>
        <w:autoSpaceDE w:val="0"/>
        <w:autoSpaceDN w:val="0"/>
        <w:adjustRightInd w:val="0"/>
        <w:spacing w:line="560" w:lineRule="exact"/>
        <w:jc w:val="left"/>
        <w:rPr>
          <w:rFonts w:hint="eastAsia" w:ascii="仿宋" w:hAnsi="Calibri" w:eastAsia="仿宋" w:cs="仿宋"/>
          <w:kern w:val="0"/>
          <w:sz w:val="32"/>
          <w:szCs w:val="32"/>
          <w:lang w:val="zh-CN"/>
        </w:rPr>
      </w:pPr>
    </w:p>
    <w:p>
      <w:pPr>
        <w:autoSpaceDE w:val="0"/>
        <w:autoSpaceDN w:val="0"/>
        <w:adjustRightInd w:val="0"/>
        <w:jc w:val="left"/>
        <w:rPr>
          <w:rFonts w:hint="eastAsia" w:ascii="小标宋" w:hAnsi="Calibri" w:eastAsia="小标宋" w:cs="仿宋"/>
          <w:bCs/>
          <w:color w:val="333333"/>
          <w:kern w:val="0"/>
          <w:sz w:val="32"/>
          <w:szCs w:val="32"/>
          <w:lang w:val="zh-CN"/>
        </w:rPr>
      </w:pPr>
      <w:r>
        <w:rPr>
          <w:rFonts w:hint="eastAsia" w:ascii="黑体" w:hAnsi="黑体" w:eastAsia="黑体" w:cs="仿宋"/>
          <w:color w:val="333333"/>
          <w:kern w:val="0"/>
          <w:sz w:val="32"/>
          <w:szCs w:val="32"/>
          <w:lang w:val="zh-CN"/>
        </w:rPr>
        <w:t>附表</w:t>
      </w:r>
      <w:r>
        <w:rPr>
          <w:rFonts w:ascii="黑体" w:hAnsi="黑体" w:eastAsia="黑体" w:cs="仿宋"/>
          <w:color w:val="333333"/>
          <w:kern w:val="0"/>
          <w:sz w:val="32"/>
          <w:szCs w:val="32"/>
          <w:lang w:val="zh-CN"/>
        </w:rPr>
        <w:t xml:space="preserve">    </w:t>
      </w:r>
      <w:r>
        <w:rPr>
          <w:rFonts w:hint="eastAsia" w:ascii="黑体" w:hAnsi="黑体" w:eastAsia="黑体" w:cs="仿宋"/>
          <w:color w:val="333333"/>
          <w:kern w:val="0"/>
          <w:sz w:val="32"/>
          <w:szCs w:val="32"/>
          <w:lang w:val="zh-CN"/>
        </w:rPr>
        <w:t xml:space="preserve">      </w:t>
      </w:r>
      <w:r>
        <w:rPr>
          <w:rFonts w:ascii="黑体" w:hAnsi="黑体" w:eastAsia="黑体" w:cs="仿宋"/>
          <w:color w:val="333333"/>
          <w:kern w:val="0"/>
          <w:sz w:val="32"/>
          <w:szCs w:val="32"/>
          <w:lang w:val="zh-CN"/>
        </w:rPr>
        <w:t xml:space="preserve"> </w:t>
      </w:r>
      <w:r>
        <w:rPr>
          <w:rFonts w:hint="eastAsia" w:ascii="小标宋" w:hAnsi="Calibri" w:eastAsia="小标宋" w:cs="仿宋"/>
          <w:bCs/>
          <w:color w:val="333333"/>
          <w:kern w:val="0"/>
          <w:sz w:val="32"/>
          <w:szCs w:val="32"/>
          <w:lang w:val="zh-CN"/>
        </w:rPr>
        <w:t>宁夏师范学院引进人才待遇一览表</w:t>
      </w:r>
    </w:p>
    <w:tbl>
      <w:tblPr>
        <w:tblStyle w:val="17"/>
        <w:tblW w:w="8743" w:type="dxa"/>
        <w:jc w:val="center"/>
        <w:tblInd w:w="0" w:type="dxa"/>
        <w:tblLayout w:type="fixed"/>
        <w:tblCellMar>
          <w:top w:w="0" w:type="dxa"/>
          <w:left w:w="108" w:type="dxa"/>
          <w:bottom w:w="0" w:type="dxa"/>
          <w:right w:w="108" w:type="dxa"/>
        </w:tblCellMar>
      </w:tblPr>
      <w:tblGrid>
        <w:gridCol w:w="805"/>
        <w:gridCol w:w="708"/>
        <w:gridCol w:w="993"/>
        <w:gridCol w:w="992"/>
        <w:gridCol w:w="992"/>
        <w:gridCol w:w="1701"/>
        <w:gridCol w:w="2552"/>
      </w:tblGrid>
      <w:tr>
        <w:tblPrEx>
          <w:tblLayout w:type="fixed"/>
          <w:tblCellMar>
            <w:top w:w="0" w:type="dxa"/>
            <w:left w:w="108" w:type="dxa"/>
            <w:bottom w:w="0" w:type="dxa"/>
            <w:right w:w="108" w:type="dxa"/>
          </w:tblCellMar>
        </w:tblPrEx>
        <w:trPr>
          <w:trHeight w:val="501" w:hRule="atLeast"/>
          <w:jc w:val="center"/>
        </w:trPr>
        <w:tc>
          <w:tcPr>
            <w:tcW w:w="1513" w:type="dxa"/>
            <w:gridSpan w:val="2"/>
            <w:vMerge w:val="restar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ind w:firstLine="360"/>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层次</w:t>
            </w:r>
          </w:p>
        </w:tc>
        <w:tc>
          <w:tcPr>
            <w:tcW w:w="4678" w:type="dxa"/>
            <w:gridSpan w:val="4"/>
            <w:tcBorders>
              <w:top w:val="single" w:color="000000" w:sz="6" w:space="0"/>
              <w:left w:val="nil"/>
              <w:bottom w:val="single" w:color="000000" w:sz="6" w:space="0"/>
              <w:right w:val="single" w:color="000000" w:sz="6"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经费待遇（人民币，万元，税前）</w:t>
            </w:r>
          </w:p>
        </w:tc>
        <w:tc>
          <w:tcPr>
            <w:tcW w:w="2552" w:type="dxa"/>
            <w:vMerge w:val="restart"/>
            <w:tcBorders>
              <w:top w:val="single" w:color="000000" w:sz="6" w:space="0"/>
              <w:left w:val="nil"/>
              <w:bottom w:val="single" w:color="000000" w:sz="6" w:space="0"/>
              <w:right w:val="single" w:color="000000" w:sz="6"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其它</w:t>
            </w:r>
          </w:p>
        </w:tc>
      </w:tr>
      <w:tr>
        <w:tblPrEx>
          <w:tblLayout w:type="fixed"/>
          <w:tblCellMar>
            <w:top w:w="0" w:type="dxa"/>
            <w:left w:w="108" w:type="dxa"/>
            <w:bottom w:w="0" w:type="dxa"/>
            <w:right w:w="108" w:type="dxa"/>
          </w:tblCellMar>
        </w:tblPrEx>
        <w:trPr>
          <w:trHeight w:val="501" w:hRule="atLeast"/>
          <w:jc w:val="center"/>
        </w:trPr>
        <w:tc>
          <w:tcPr>
            <w:tcW w:w="1513" w:type="dxa"/>
            <w:gridSpan w:val="2"/>
            <w:vMerge w:val="continue"/>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after="200" w:line="340" w:lineRule="exact"/>
              <w:jc w:val="left"/>
              <w:rPr>
                <w:rFonts w:hint="eastAsia" w:ascii="仿宋_GB2312" w:hAnsi="Calibri" w:eastAsia="仿宋_GB2312" w:cs="宋体"/>
                <w:kern w:val="0"/>
                <w:szCs w:val="21"/>
                <w:lang w:val="zh-CN"/>
              </w:rPr>
            </w:pPr>
          </w:p>
        </w:tc>
        <w:tc>
          <w:tcPr>
            <w:tcW w:w="1985" w:type="dxa"/>
            <w:gridSpan w:val="2"/>
            <w:tcBorders>
              <w:top w:val="nil"/>
              <w:left w:val="nil"/>
              <w:bottom w:val="single" w:color="000000" w:sz="6" w:space="0"/>
              <w:right w:val="single" w:color="000000" w:sz="6"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科研启动费</w:t>
            </w:r>
          </w:p>
        </w:tc>
        <w:tc>
          <w:tcPr>
            <w:tcW w:w="992" w:type="dxa"/>
            <w:vMerge w:val="restart"/>
            <w:tcBorders>
              <w:top w:val="nil"/>
              <w:left w:val="nil"/>
              <w:bottom w:val="single" w:color="000000" w:sz="6" w:space="0"/>
              <w:right w:val="single" w:color="000000" w:sz="6"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年薪</w:t>
            </w:r>
          </w:p>
        </w:tc>
        <w:tc>
          <w:tcPr>
            <w:tcW w:w="1701" w:type="dxa"/>
            <w:vMerge w:val="restart"/>
            <w:tcBorders>
              <w:top w:val="single" w:color="auto" w:sz="4" w:space="0"/>
              <w:left w:val="nil"/>
              <w:right w:val="single" w:color="000000" w:sz="6" w:space="0"/>
            </w:tcBorders>
            <w:vAlign w:val="center"/>
          </w:tcPr>
          <w:p>
            <w:pPr>
              <w:autoSpaceDE w:val="0"/>
              <w:autoSpaceDN w:val="0"/>
              <w:adjustRightInd w:val="0"/>
              <w:spacing w:after="200"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安家费</w:t>
            </w:r>
          </w:p>
        </w:tc>
        <w:tc>
          <w:tcPr>
            <w:tcW w:w="2552" w:type="dxa"/>
            <w:vMerge w:val="continue"/>
            <w:tcBorders>
              <w:top w:val="single" w:color="000000" w:sz="6" w:space="0"/>
              <w:left w:val="nil"/>
              <w:bottom w:val="single" w:color="000000" w:sz="6" w:space="0"/>
              <w:right w:val="single" w:color="000000" w:sz="6" w:space="0"/>
            </w:tcBorders>
            <w:vAlign w:val="center"/>
          </w:tcPr>
          <w:p>
            <w:pPr>
              <w:autoSpaceDE w:val="0"/>
              <w:autoSpaceDN w:val="0"/>
              <w:adjustRightInd w:val="0"/>
              <w:spacing w:after="200" w:line="340" w:lineRule="exact"/>
              <w:jc w:val="left"/>
              <w:rPr>
                <w:rFonts w:hint="eastAsia" w:ascii="仿宋_GB2312" w:hAnsi="Calibri" w:eastAsia="仿宋_GB2312" w:cs="宋体"/>
                <w:kern w:val="0"/>
                <w:szCs w:val="21"/>
                <w:lang w:val="zh-CN"/>
              </w:rPr>
            </w:pPr>
          </w:p>
        </w:tc>
      </w:tr>
      <w:tr>
        <w:tblPrEx>
          <w:tblLayout w:type="fixed"/>
          <w:tblCellMar>
            <w:top w:w="0" w:type="dxa"/>
            <w:left w:w="108" w:type="dxa"/>
            <w:bottom w:w="0" w:type="dxa"/>
            <w:right w:w="108" w:type="dxa"/>
          </w:tblCellMar>
        </w:tblPrEx>
        <w:trPr>
          <w:trHeight w:val="633" w:hRule="atLeast"/>
          <w:jc w:val="center"/>
        </w:trPr>
        <w:tc>
          <w:tcPr>
            <w:tcW w:w="1513" w:type="dxa"/>
            <w:gridSpan w:val="2"/>
            <w:vMerge w:val="continue"/>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after="200" w:line="340" w:lineRule="exact"/>
              <w:jc w:val="left"/>
              <w:rPr>
                <w:rFonts w:hint="eastAsia" w:ascii="仿宋_GB2312" w:hAnsi="Calibri" w:eastAsia="仿宋_GB2312" w:cs="宋体"/>
                <w:kern w:val="0"/>
                <w:szCs w:val="21"/>
                <w:lang w:val="zh-CN"/>
              </w:rPr>
            </w:pPr>
          </w:p>
        </w:tc>
        <w:tc>
          <w:tcPr>
            <w:tcW w:w="993" w:type="dxa"/>
            <w:tcBorders>
              <w:top w:val="nil"/>
              <w:left w:val="nil"/>
              <w:bottom w:val="single" w:color="000000" w:sz="6" w:space="0"/>
              <w:right w:val="single" w:color="000000" w:sz="6"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自然</w:t>
            </w:r>
          </w:p>
        </w:tc>
        <w:tc>
          <w:tcPr>
            <w:tcW w:w="992" w:type="dxa"/>
            <w:tcBorders>
              <w:top w:val="nil"/>
              <w:left w:val="nil"/>
              <w:bottom w:val="single" w:color="000000" w:sz="6" w:space="0"/>
              <w:right w:val="single" w:color="000000" w:sz="6"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人文</w:t>
            </w:r>
          </w:p>
        </w:tc>
        <w:tc>
          <w:tcPr>
            <w:tcW w:w="992" w:type="dxa"/>
            <w:vMerge w:val="continue"/>
            <w:tcBorders>
              <w:top w:val="nil"/>
              <w:left w:val="nil"/>
              <w:bottom w:val="single" w:color="000000" w:sz="6" w:space="0"/>
              <w:right w:val="single" w:color="000000" w:sz="6" w:space="0"/>
            </w:tcBorders>
            <w:vAlign w:val="center"/>
          </w:tcPr>
          <w:p>
            <w:pPr>
              <w:autoSpaceDE w:val="0"/>
              <w:autoSpaceDN w:val="0"/>
              <w:adjustRightInd w:val="0"/>
              <w:spacing w:after="200" w:line="340" w:lineRule="exact"/>
              <w:jc w:val="left"/>
              <w:rPr>
                <w:rFonts w:hint="eastAsia" w:ascii="仿宋_GB2312" w:hAnsi="Calibri" w:eastAsia="仿宋_GB2312" w:cs="宋体"/>
                <w:kern w:val="0"/>
                <w:szCs w:val="21"/>
                <w:lang w:val="zh-CN"/>
              </w:rPr>
            </w:pPr>
          </w:p>
        </w:tc>
        <w:tc>
          <w:tcPr>
            <w:tcW w:w="1701" w:type="dxa"/>
            <w:vMerge w:val="continue"/>
            <w:tcBorders>
              <w:left w:val="nil"/>
              <w:bottom w:val="single" w:color="000000" w:sz="6" w:space="0"/>
              <w:right w:val="single" w:color="000000" w:sz="6" w:space="0"/>
            </w:tcBorders>
            <w:vAlign w:val="center"/>
          </w:tcPr>
          <w:p>
            <w:pPr>
              <w:autoSpaceDE w:val="0"/>
              <w:autoSpaceDN w:val="0"/>
              <w:adjustRightInd w:val="0"/>
              <w:spacing w:after="200" w:line="340" w:lineRule="exact"/>
              <w:jc w:val="left"/>
              <w:rPr>
                <w:rFonts w:hint="eastAsia" w:ascii="仿宋_GB2312" w:hAnsi="Calibri" w:eastAsia="仿宋_GB2312" w:cs="宋体"/>
                <w:kern w:val="0"/>
                <w:szCs w:val="21"/>
                <w:lang w:val="zh-CN"/>
              </w:rPr>
            </w:pPr>
          </w:p>
        </w:tc>
        <w:tc>
          <w:tcPr>
            <w:tcW w:w="2552" w:type="dxa"/>
            <w:vMerge w:val="continue"/>
            <w:tcBorders>
              <w:top w:val="single" w:color="000000" w:sz="6" w:space="0"/>
              <w:left w:val="nil"/>
              <w:bottom w:val="single" w:color="000000" w:sz="6" w:space="0"/>
              <w:right w:val="single" w:color="000000" w:sz="6" w:space="0"/>
            </w:tcBorders>
            <w:vAlign w:val="center"/>
          </w:tcPr>
          <w:p>
            <w:pPr>
              <w:autoSpaceDE w:val="0"/>
              <w:autoSpaceDN w:val="0"/>
              <w:adjustRightInd w:val="0"/>
              <w:spacing w:after="200" w:line="340" w:lineRule="exact"/>
              <w:jc w:val="left"/>
              <w:rPr>
                <w:rFonts w:hint="eastAsia" w:ascii="仿宋_GB2312" w:hAnsi="Calibri" w:eastAsia="仿宋_GB2312" w:cs="宋体"/>
                <w:kern w:val="0"/>
                <w:szCs w:val="21"/>
                <w:lang w:val="zh-CN"/>
              </w:rPr>
            </w:pPr>
          </w:p>
        </w:tc>
      </w:tr>
      <w:tr>
        <w:tblPrEx>
          <w:tblLayout w:type="fixed"/>
          <w:tblCellMar>
            <w:top w:w="0" w:type="dxa"/>
            <w:left w:w="108" w:type="dxa"/>
            <w:bottom w:w="0" w:type="dxa"/>
            <w:right w:w="108" w:type="dxa"/>
          </w:tblCellMar>
        </w:tblPrEx>
        <w:trPr>
          <w:trHeight w:val="667" w:hRule="atLeast"/>
          <w:jc w:val="center"/>
        </w:trPr>
        <w:tc>
          <w:tcPr>
            <w:tcW w:w="1513" w:type="dxa"/>
            <w:gridSpan w:val="2"/>
            <w:tcBorders>
              <w:top w:val="single" w:color="000000" w:sz="6" w:space="0"/>
              <w:left w:val="single" w:color="000000" w:sz="6" w:space="0"/>
              <w:bottom w:val="nil"/>
              <w:right w:val="single" w:color="000000" w:sz="6"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一、杰出人才</w:t>
            </w:r>
          </w:p>
        </w:tc>
        <w:tc>
          <w:tcPr>
            <w:tcW w:w="1985" w:type="dxa"/>
            <w:gridSpan w:val="2"/>
            <w:tcBorders>
              <w:top w:val="nil"/>
              <w:left w:val="nil"/>
              <w:bottom w:val="single" w:color="000000" w:sz="6" w:space="0"/>
              <w:right w:val="single" w:color="000000" w:sz="6"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2000</w:t>
            </w:r>
          </w:p>
        </w:tc>
        <w:tc>
          <w:tcPr>
            <w:tcW w:w="992" w:type="dxa"/>
            <w:tcBorders>
              <w:top w:val="nil"/>
              <w:left w:val="nil"/>
              <w:bottom w:val="single" w:color="000000" w:sz="6" w:space="0"/>
              <w:right w:val="single" w:color="000000" w:sz="6"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100</w:t>
            </w:r>
          </w:p>
        </w:tc>
        <w:tc>
          <w:tcPr>
            <w:tcW w:w="1701" w:type="dxa"/>
            <w:tcBorders>
              <w:top w:val="nil"/>
              <w:left w:val="nil"/>
              <w:bottom w:val="single" w:color="000000" w:sz="6" w:space="0"/>
              <w:right w:val="single" w:color="000000" w:sz="2"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200</w:t>
            </w:r>
          </w:p>
        </w:tc>
        <w:tc>
          <w:tcPr>
            <w:tcW w:w="2552" w:type="dxa"/>
            <w:tcBorders>
              <w:top w:val="single" w:color="000000" w:sz="6" w:space="0"/>
              <w:left w:val="single" w:color="000000" w:sz="2" w:space="0"/>
              <w:bottom w:val="single" w:color="000000" w:sz="6" w:space="0"/>
              <w:right w:val="single" w:color="000000" w:sz="6" w:space="0"/>
            </w:tcBorders>
            <w:vAlign w:val="center"/>
          </w:tcPr>
          <w:p>
            <w:pPr>
              <w:autoSpaceDE w:val="0"/>
              <w:autoSpaceDN w:val="0"/>
              <w:adjustRightInd w:val="0"/>
              <w:spacing w:line="340" w:lineRule="exact"/>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安排配偶工作。配备科研助手，组建学术团队，配备实验室、办公室及相关设备，具体条件及待遇可面议。</w:t>
            </w:r>
          </w:p>
        </w:tc>
      </w:tr>
      <w:tr>
        <w:tblPrEx>
          <w:tblLayout w:type="fixed"/>
          <w:tblCellMar>
            <w:top w:w="0" w:type="dxa"/>
            <w:left w:w="108" w:type="dxa"/>
            <w:bottom w:w="0" w:type="dxa"/>
            <w:right w:w="108" w:type="dxa"/>
          </w:tblCellMar>
        </w:tblPrEx>
        <w:trPr>
          <w:trHeight w:val="667" w:hRule="atLeast"/>
          <w:jc w:val="center"/>
        </w:trPr>
        <w:tc>
          <w:tcPr>
            <w:tcW w:w="1513" w:type="dxa"/>
            <w:gridSpan w:val="2"/>
            <w:tcBorders>
              <w:top w:val="single" w:color="000000" w:sz="2" w:space="0"/>
              <w:left w:val="single" w:color="000000" w:sz="6" w:space="0"/>
              <w:bottom w:val="nil"/>
              <w:right w:val="single" w:color="000000" w:sz="6"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二、领军人才</w:t>
            </w:r>
          </w:p>
        </w:tc>
        <w:tc>
          <w:tcPr>
            <w:tcW w:w="993" w:type="dxa"/>
            <w:tcBorders>
              <w:top w:val="nil"/>
              <w:left w:val="nil"/>
              <w:bottom w:val="single" w:color="000000" w:sz="6" w:space="0"/>
              <w:right w:val="single" w:color="000000" w:sz="2"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500</w:t>
            </w:r>
          </w:p>
        </w:tc>
        <w:tc>
          <w:tcPr>
            <w:tcW w:w="992" w:type="dxa"/>
            <w:tcBorders>
              <w:top w:val="nil"/>
              <w:left w:val="single" w:color="000000" w:sz="2" w:space="0"/>
              <w:bottom w:val="single" w:color="000000" w:sz="6" w:space="0"/>
              <w:right w:val="single" w:color="000000" w:sz="2"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100</w:t>
            </w:r>
          </w:p>
        </w:tc>
        <w:tc>
          <w:tcPr>
            <w:tcW w:w="992" w:type="dxa"/>
            <w:tcBorders>
              <w:top w:val="nil"/>
              <w:left w:val="single" w:color="000000" w:sz="2" w:space="0"/>
              <w:bottom w:val="single" w:color="000000" w:sz="6" w:space="0"/>
              <w:right w:val="single" w:color="000000" w:sz="2"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50</w:t>
            </w:r>
          </w:p>
        </w:tc>
        <w:tc>
          <w:tcPr>
            <w:tcW w:w="1701" w:type="dxa"/>
            <w:tcBorders>
              <w:top w:val="nil"/>
              <w:left w:val="single" w:color="000000" w:sz="2" w:space="0"/>
              <w:bottom w:val="single" w:color="000000" w:sz="6" w:space="0"/>
              <w:right w:val="single" w:color="000000" w:sz="2"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180</w:t>
            </w:r>
          </w:p>
        </w:tc>
        <w:tc>
          <w:tcPr>
            <w:tcW w:w="2552" w:type="dxa"/>
            <w:tcBorders>
              <w:top w:val="nil"/>
              <w:left w:val="single" w:color="000000" w:sz="2" w:space="0"/>
              <w:bottom w:val="single" w:color="000000" w:sz="6" w:space="0"/>
              <w:right w:val="single" w:color="000000" w:sz="6" w:space="0"/>
            </w:tcBorders>
            <w:vAlign w:val="center"/>
          </w:tcPr>
          <w:p>
            <w:pPr>
              <w:autoSpaceDE w:val="0"/>
              <w:autoSpaceDN w:val="0"/>
              <w:adjustRightInd w:val="0"/>
              <w:spacing w:line="340" w:lineRule="exact"/>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安排配偶工作。配备科研助手，组建学术团队，配备实验室、办公室及相关设备。</w:t>
            </w:r>
          </w:p>
        </w:tc>
      </w:tr>
      <w:tr>
        <w:tblPrEx>
          <w:tblLayout w:type="fixed"/>
          <w:tblCellMar>
            <w:top w:w="0" w:type="dxa"/>
            <w:left w:w="108" w:type="dxa"/>
            <w:bottom w:w="0" w:type="dxa"/>
            <w:right w:w="108" w:type="dxa"/>
          </w:tblCellMar>
        </w:tblPrEx>
        <w:trPr>
          <w:trHeight w:val="667" w:hRule="atLeast"/>
          <w:jc w:val="center"/>
        </w:trPr>
        <w:tc>
          <w:tcPr>
            <w:tcW w:w="1513" w:type="dxa"/>
            <w:gridSpan w:val="2"/>
            <w:tcBorders>
              <w:top w:val="single" w:color="000000" w:sz="2" w:space="0"/>
              <w:left w:val="single" w:color="000000" w:sz="2" w:space="0"/>
              <w:bottom w:val="nil"/>
              <w:right w:val="single" w:color="000000" w:sz="6"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三、拔尖人才</w:t>
            </w:r>
          </w:p>
        </w:tc>
        <w:tc>
          <w:tcPr>
            <w:tcW w:w="993" w:type="dxa"/>
            <w:tcBorders>
              <w:top w:val="nil"/>
              <w:left w:val="nil"/>
              <w:bottom w:val="single" w:color="000000" w:sz="6" w:space="0"/>
              <w:right w:val="single" w:color="000000" w:sz="2"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300</w:t>
            </w:r>
          </w:p>
        </w:tc>
        <w:tc>
          <w:tcPr>
            <w:tcW w:w="992" w:type="dxa"/>
            <w:tcBorders>
              <w:top w:val="nil"/>
              <w:left w:val="single" w:color="000000" w:sz="2" w:space="0"/>
              <w:bottom w:val="single" w:color="000000" w:sz="6" w:space="0"/>
              <w:right w:val="single" w:color="000000" w:sz="2"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50</w:t>
            </w:r>
          </w:p>
        </w:tc>
        <w:tc>
          <w:tcPr>
            <w:tcW w:w="992" w:type="dxa"/>
            <w:tcBorders>
              <w:top w:val="nil"/>
              <w:left w:val="single" w:color="000000" w:sz="2" w:space="0"/>
              <w:bottom w:val="single" w:color="000000" w:sz="6" w:space="0"/>
              <w:right w:val="single" w:color="000000" w:sz="2"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30</w:t>
            </w:r>
          </w:p>
        </w:tc>
        <w:tc>
          <w:tcPr>
            <w:tcW w:w="1701" w:type="dxa"/>
            <w:tcBorders>
              <w:top w:val="nil"/>
              <w:left w:val="single" w:color="000000" w:sz="2" w:space="0"/>
              <w:bottom w:val="single" w:color="000000" w:sz="6" w:space="0"/>
              <w:right w:val="single" w:color="000000" w:sz="2"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125</w:t>
            </w:r>
          </w:p>
        </w:tc>
        <w:tc>
          <w:tcPr>
            <w:tcW w:w="2552" w:type="dxa"/>
            <w:tcBorders>
              <w:top w:val="nil"/>
              <w:left w:val="nil"/>
              <w:bottom w:val="single" w:color="000000" w:sz="6" w:space="0"/>
              <w:right w:val="single" w:color="000000" w:sz="6" w:space="0"/>
            </w:tcBorders>
            <w:vAlign w:val="center"/>
          </w:tcPr>
          <w:p>
            <w:pPr>
              <w:autoSpaceDE w:val="0"/>
              <w:autoSpaceDN w:val="0"/>
              <w:adjustRightInd w:val="0"/>
              <w:spacing w:line="340" w:lineRule="exact"/>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安排配偶工作。配备科研助手，组建学术团队，配备实验室、办公室及相关设备。</w:t>
            </w:r>
          </w:p>
        </w:tc>
      </w:tr>
      <w:tr>
        <w:tblPrEx>
          <w:tblLayout w:type="fixed"/>
          <w:tblCellMar>
            <w:top w:w="0" w:type="dxa"/>
            <w:left w:w="108" w:type="dxa"/>
            <w:bottom w:w="0" w:type="dxa"/>
            <w:right w:w="108" w:type="dxa"/>
          </w:tblCellMar>
        </w:tblPrEx>
        <w:trPr>
          <w:trHeight w:val="501" w:hRule="atLeast"/>
          <w:jc w:val="center"/>
        </w:trPr>
        <w:tc>
          <w:tcPr>
            <w:tcW w:w="805" w:type="dxa"/>
            <w:vMerge w:val="restart"/>
            <w:tcBorders>
              <w:top w:val="single" w:color="000000" w:sz="2" w:space="0"/>
              <w:left w:val="single" w:color="000000" w:sz="6" w:space="0"/>
              <w:bottom w:val="nil"/>
              <w:right w:val="single" w:color="000000" w:sz="6" w:space="0"/>
            </w:tcBorders>
            <w:vAlign w:val="center"/>
          </w:tcPr>
          <w:p>
            <w:pPr>
              <w:autoSpaceDE w:val="0"/>
              <w:autoSpaceDN w:val="0"/>
              <w:adjustRightInd w:val="0"/>
              <w:spacing w:line="340" w:lineRule="exact"/>
              <w:jc w:val="center"/>
              <w:rPr>
                <w:rFonts w:hint="eastAsia" w:ascii="仿宋_GB2312" w:hAnsi="Calibri" w:eastAsia="仿宋_GB2312" w:cs="仿宋"/>
                <w:kern w:val="0"/>
                <w:szCs w:val="21"/>
                <w:lang w:val="zh-CN"/>
              </w:rPr>
            </w:pPr>
            <w:r>
              <w:rPr>
                <w:rFonts w:hint="eastAsia" w:ascii="仿宋_GB2312" w:hAnsi="Calibri" w:eastAsia="仿宋_GB2312" w:cs="仿宋"/>
                <w:kern w:val="0"/>
                <w:szCs w:val="21"/>
                <w:lang w:val="zh-CN"/>
              </w:rPr>
              <w:t>四、</w:t>
            </w:r>
          </w:p>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青年优秀人才</w:t>
            </w:r>
          </w:p>
        </w:tc>
        <w:tc>
          <w:tcPr>
            <w:tcW w:w="708" w:type="dxa"/>
            <w:tcBorders>
              <w:top w:val="single" w:color="000000" w:sz="2" w:space="0"/>
              <w:left w:val="nil"/>
              <w:bottom w:val="nil"/>
              <w:right w:val="single" w:color="000000" w:sz="6"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一类</w:t>
            </w:r>
          </w:p>
        </w:tc>
        <w:tc>
          <w:tcPr>
            <w:tcW w:w="993" w:type="dxa"/>
            <w:tcBorders>
              <w:top w:val="nil"/>
              <w:left w:val="nil"/>
              <w:bottom w:val="single" w:color="000000" w:sz="6" w:space="0"/>
              <w:right w:val="single" w:color="000000" w:sz="6"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20</w:t>
            </w:r>
          </w:p>
        </w:tc>
        <w:tc>
          <w:tcPr>
            <w:tcW w:w="992" w:type="dxa"/>
            <w:tcBorders>
              <w:top w:val="nil"/>
              <w:left w:val="nil"/>
              <w:bottom w:val="single" w:color="000000" w:sz="6" w:space="0"/>
              <w:right w:val="single" w:color="000000" w:sz="6"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15</w:t>
            </w:r>
          </w:p>
        </w:tc>
        <w:tc>
          <w:tcPr>
            <w:tcW w:w="992" w:type="dxa"/>
            <w:vMerge w:val="restart"/>
            <w:tcBorders>
              <w:top w:val="nil"/>
              <w:left w:val="nil"/>
              <w:bottom w:val="nil"/>
              <w:right w:val="single" w:color="000000" w:sz="6" w:space="0"/>
            </w:tcBorders>
            <w:vAlign w:val="center"/>
          </w:tcPr>
          <w:p>
            <w:pPr>
              <w:autoSpaceDE w:val="0"/>
              <w:autoSpaceDN w:val="0"/>
              <w:adjustRightInd w:val="0"/>
              <w:spacing w:line="340" w:lineRule="exact"/>
              <w:jc w:val="left"/>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享受国家和校内规定的工资、福利等待遇。</w:t>
            </w:r>
          </w:p>
        </w:tc>
        <w:tc>
          <w:tcPr>
            <w:tcW w:w="1701" w:type="dxa"/>
            <w:tcBorders>
              <w:top w:val="nil"/>
              <w:left w:val="nil"/>
              <w:bottom w:val="single" w:color="000000" w:sz="6" w:space="0"/>
              <w:right w:val="single" w:color="000000" w:sz="6" w:space="0"/>
            </w:tcBorders>
            <w:vAlign w:val="center"/>
          </w:tcPr>
          <w:p>
            <w:pPr>
              <w:autoSpaceDE w:val="0"/>
              <w:autoSpaceDN w:val="0"/>
              <w:adjustRightInd w:val="0"/>
              <w:spacing w:line="340" w:lineRule="exact"/>
              <w:jc w:val="left"/>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70万元住房补贴；或30万元住房补贴+一套120㎡左右住房。</w:t>
            </w:r>
          </w:p>
        </w:tc>
        <w:tc>
          <w:tcPr>
            <w:tcW w:w="2552" w:type="dxa"/>
            <w:vMerge w:val="restart"/>
            <w:tcBorders>
              <w:top w:val="nil"/>
              <w:left w:val="nil"/>
              <w:bottom w:val="nil"/>
              <w:right w:val="single" w:color="000000" w:sz="6" w:space="0"/>
            </w:tcBorders>
            <w:vAlign w:val="center"/>
          </w:tcPr>
          <w:p>
            <w:pPr>
              <w:autoSpaceDE w:val="0"/>
              <w:autoSpaceDN w:val="0"/>
              <w:adjustRightInd w:val="0"/>
              <w:spacing w:line="340" w:lineRule="exact"/>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引进人才的配偶，学校根据自治区政策和本人实际，符合调动的可随调，符合公开招聘条件的参加公开招聘，以上都不符合的，校内安排工作，纳入编制外管理。</w:t>
            </w:r>
          </w:p>
        </w:tc>
      </w:tr>
      <w:tr>
        <w:tblPrEx>
          <w:tblLayout w:type="fixed"/>
          <w:tblCellMar>
            <w:top w:w="0" w:type="dxa"/>
            <w:left w:w="108" w:type="dxa"/>
            <w:bottom w:w="0" w:type="dxa"/>
            <w:right w:w="108" w:type="dxa"/>
          </w:tblCellMar>
        </w:tblPrEx>
        <w:trPr>
          <w:trHeight w:val="501" w:hRule="atLeast"/>
          <w:jc w:val="center"/>
        </w:trPr>
        <w:tc>
          <w:tcPr>
            <w:tcW w:w="805" w:type="dxa"/>
            <w:vMerge w:val="continue"/>
            <w:tcBorders>
              <w:top w:val="nil"/>
              <w:left w:val="single" w:color="000000" w:sz="6" w:space="0"/>
              <w:bottom w:val="nil"/>
              <w:right w:val="single" w:color="000000" w:sz="6" w:space="0"/>
            </w:tcBorders>
            <w:vAlign w:val="center"/>
          </w:tcPr>
          <w:p>
            <w:pPr>
              <w:autoSpaceDE w:val="0"/>
              <w:autoSpaceDN w:val="0"/>
              <w:adjustRightInd w:val="0"/>
              <w:spacing w:after="200" w:line="340" w:lineRule="exact"/>
              <w:jc w:val="left"/>
              <w:rPr>
                <w:rFonts w:hint="eastAsia" w:ascii="仿宋_GB2312" w:hAnsi="Calibri" w:eastAsia="仿宋_GB2312" w:cs="宋体"/>
                <w:kern w:val="0"/>
                <w:szCs w:val="21"/>
                <w:lang w:val="zh-CN"/>
              </w:rPr>
            </w:pPr>
          </w:p>
        </w:tc>
        <w:tc>
          <w:tcPr>
            <w:tcW w:w="708" w:type="dxa"/>
            <w:tcBorders>
              <w:top w:val="single" w:color="000000" w:sz="2" w:space="0"/>
              <w:left w:val="nil"/>
              <w:bottom w:val="nil"/>
              <w:right w:val="single" w:color="000000" w:sz="6"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二类</w:t>
            </w:r>
          </w:p>
        </w:tc>
        <w:tc>
          <w:tcPr>
            <w:tcW w:w="993" w:type="dxa"/>
            <w:tcBorders>
              <w:top w:val="nil"/>
              <w:left w:val="nil"/>
              <w:bottom w:val="single" w:color="000000" w:sz="6" w:space="0"/>
              <w:right w:val="single" w:color="000000" w:sz="6"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20</w:t>
            </w:r>
          </w:p>
        </w:tc>
        <w:tc>
          <w:tcPr>
            <w:tcW w:w="992" w:type="dxa"/>
            <w:tcBorders>
              <w:top w:val="nil"/>
              <w:left w:val="nil"/>
              <w:bottom w:val="single" w:color="000000" w:sz="6" w:space="0"/>
              <w:right w:val="single" w:color="000000" w:sz="6"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15</w:t>
            </w:r>
          </w:p>
        </w:tc>
        <w:tc>
          <w:tcPr>
            <w:tcW w:w="992" w:type="dxa"/>
            <w:vMerge w:val="continue"/>
            <w:tcBorders>
              <w:top w:val="nil"/>
              <w:left w:val="nil"/>
              <w:bottom w:val="nil"/>
              <w:right w:val="single" w:color="000000" w:sz="6" w:space="0"/>
            </w:tcBorders>
            <w:vAlign w:val="center"/>
          </w:tcPr>
          <w:p>
            <w:pPr>
              <w:autoSpaceDE w:val="0"/>
              <w:autoSpaceDN w:val="0"/>
              <w:adjustRightInd w:val="0"/>
              <w:spacing w:after="200" w:line="340" w:lineRule="exact"/>
              <w:jc w:val="left"/>
              <w:rPr>
                <w:rFonts w:hint="eastAsia" w:ascii="仿宋_GB2312" w:hAnsi="Calibri" w:eastAsia="仿宋_GB2312" w:cs="宋体"/>
                <w:kern w:val="0"/>
                <w:szCs w:val="21"/>
                <w:lang w:val="zh-CN"/>
              </w:rPr>
            </w:pPr>
          </w:p>
        </w:tc>
        <w:tc>
          <w:tcPr>
            <w:tcW w:w="1701" w:type="dxa"/>
            <w:tcBorders>
              <w:top w:val="nil"/>
              <w:left w:val="nil"/>
              <w:bottom w:val="single" w:color="000000" w:sz="6" w:space="0"/>
              <w:right w:val="single" w:color="000000" w:sz="6" w:space="0"/>
            </w:tcBorders>
            <w:vAlign w:val="center"/>
          </w:tcPr>
          <w:p>
            <w:pPr>
              <w:autoSpaceDE w:val="0"/>
              <w:autoSpaceDN w:val="0"/>
              <w:adjustRightInd w:val="0"/>
              <w:spacing w:line="340" w:lineRule="exact"/>
              <w:jc w:val="left"/>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60万元住房补贴；或20万元住房补贴+一套120㎡左右住房。</w:t>
            </w:r>
          </w:p>
        </w:tc>
        <w:tc>
          <w:tcPr>
            <w:tcW w:w="2552" w:type="dxa"/>
            <w:vMerge w:val="continue"/>
            <w:tcBorders>
              <w:top w:val="nil"/>
              <w:left w:val="nil"/>
              <w:bottom w:val="nil"/>
              <w:right w:val="single" w:color="000000" w:sz="6" w:space="0"/>
            </w:tcBorders>
            <w:vAlign w:val="center"/>
          </w:tcPr>
          <w:p>
            <w:pPr>
              <w:autoSpaceDE w:val="0"/>
              <w:autoSpaceDN w:val="0"/>
              <w:adjustRightInd w:val="0"/>
              <w:spacing w:after="200" w:line="340" w:lineRule="exact"/>
              <w:jc w:val="left"/>
              <w:rPr>
                <w:rFonts w:hint="eastAsia" w:ascii="仿宋_GB2312" w:hAnsi="Calibri" w:eastAsia="仿宋_GB2312" w:cs="宋体"/>
                <w:kern w:val="0"/>
                <w:szCs w:val="21"/>
                <w:lang w:val="zh-CN"/>
              </w:rPr>
            </w:pPr>
          </w:p>
        </w:tc>
      </w:tr>
      <w:tr>
        <w:tblPrEx>
          <w:tblLayout w:type="fixed"/>
          <w:tblCellMar>
            <w:top w:w="0" w:type="dxa"/>
            <w:left w:w="108" w:type="dxa"/>
            <w:bottom w:w="0" w:type="dxa"/>
            <w:right w:w="108" w:type="dxa"/>
          </w:tblCellMar>
        </w:tblPrEx>
        <w:trPr>
          <w:trHeight w:val="501" w:hRule="atLeast"/>
          <w:jc w:val="center"/>
        </w:trPr>
        <w:tc>
          <w:tcPr>
            <w:tcW w:w="805" w:type="dxa"/>
            <w:vMerge w:val="continue"/>
            <w:tcBorders>
              <w:top w:val="nil"/>
              <w:left w:val="single" w:color="000000" w:sz="6" w:space="0"/>
              <w:bottom w:val="nil"/>
              <w:right w:val="single" w:color="000000" w:sz="6" w:space="0"/>
            </w:tcBorders>
            <w:vAlign w:val="center"/>
          </w:tcPr>
          <w:p>
            <w:pPr>
              <w:autoSpaceDE w:val="0"/>
              <w:autoSpaceDN w:val="0"/>
              <w:adjustRightInd w:val="0"/>
              <w:spacing w:after="200" w:line="340" w:lineRule="exact"/>
              <w:jc w:val="left"/>
              <w:rPr>
                <w:rFonts w:hint="eastAsia" w:ascii="仿宋_GB2312" w:hAnsi="Calibri" w:eastAsia="仿宋_GB2312" w:cs="宋体"/>
                <w:kern w:val="0"/>
                <w:szCs w:val="21"/>
                <w:lang w:val="zh-CN"/>
              </w:rPr>
            </w:pPr>
          </w:p>
        </w:tc>
        <w:tc>
          <w:tcPr>
            <w:tcW w:w="708" w:type="dxa"/>
            <w:tcBorders>
              <w:top w:val="single" w:color="000000" w:sz="2" w:space="0"/>
              <w:left w:val="nil"/>
              <w:bottom w:val="single" w:color="000000" w:sz="2" w:space="0"/>
              <w:right w:val="single" w:color="000000" w:sz="6"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三类</w:t>
            </w:r>
          </w:p>
        </w:tc>
        <w:tc>
          <w:tcPr>
            <w:tcW w:w="993" w:type="dxa"/>
            <w:tcBorders>
              <w:top w:val="nil"/>
              <w:left w:val="nil"/>
              <w:bottom w:val="single" w:color="000000" w:sz="2" w:space="0"/>
              <w:right w:val="single" w:color="000000" w:sz="6"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20</w:t>
            </w:r>
          </w:p>
        </w:tc>
        <w:tc>
          <w:tcPr>
            <w:tcW w:w="992" w:type="dxa"/>
            <w:tcBorders>
              <w:top w:val="nil"/>
              <w:left w:val="nil"/>
              <w:bottom w:val="single" w:color="000000" w:sz="2" w:space="0"/>
              <w:right w:val="single" w:color="000000" w:sz="6" w:space="0"/>
            </w:tcBorders>
            <w:vAlign w:val="center"/>
          </w:tcPr>
          <w:p>
            <w:pPr>
              <w:autoSpaceDE w:val="0"/>
              <w:autoSpaceDN w:val="0"/>
              <w:adjustRightInd w:val="0"/>
              <w:spacing w:line="340" w:lineRule="exact"/>
              <w:jc w:val="center"/>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15</w:t>
            </w:r>
          </w:p>
        </w:tc>
        <w:tc>
          <w:tcPr>
            <w:tcW w:w="992" w:type="dxa"/>
            <w:vMerge w:val="continue"/>
            <w:tcBorders>
              <w:top w:val="nil"/>
              <w:left w:val="nil"/>
              <w:bottom w:val="nil"/>
              <w:right w:val="single" w:color="000000" w:sz="6" w:space="0"/>
            </w:tcBorders>
            <w:vAlign w:val="center"/>
          </w:tcPr>
          <w:p>
            <w:pPr>
              <w:autoSpaceDE w:val="0"/>
              <w:autoSpaceDN w:val="0"/>
              <w:adjustRightInd w:val="0"/>
              <w:spacing w:after="200" w:line="340" w:lineRule="exact"/>
              <w:jc w:val="left"/>
              <w:rPr>
                <w:rFonts w:hint="eastAsia" w:ascii="仿宋_GB2312" w:hAnsi="Calibri" w:eastAsia="仿宋_GB2312" w:cs="宋体"/>
                <w:kern w:val="0"/>
                <w:szCs w:val="21"/>
                <w:lang w:val="zh-CN"/>
              </w:rPr>
            </w:pPr>
          </w:p>
        </w:tc>
        <w:tc>
          <w:tcPr>
            <w:tcW w:w="1701" w:type="dxa"/>
            <w:tcBorders>
              <w:top w:val="nil"/>
              <w:left w:val="nil"/>
              <w:bottom w:val="single" w:color="000000" w:sz="2" w:space="0"/>
              <w:right w:val="single" w:color="auto" w:sz="4" w:space="0"/>
            </w:tcBorders>
            <w:vAlign w:val="center"/>
          </w:tcPr>
          <w:p>
            <w:pPr>
              <w:autoSpaceDE w:val="0"/>
              <w:autoSpaceDN w:val="0"/>
              <w:adjustRightInd w:val="0"/>
              <w:spacing w:line="340" w:lineRule="exact"/>
              <w:jc w:val="left"/>
              <w:rPr>
                <w:rFonts w:hint="eastAsia" w:ascii="仿宋_GB2312" w:hAnsi="Calibri" w:eastAsia="仿宋_GB2312" w:cs="仿宋"/>
                <w:kern w:val="0"/>
                <w:szCs w:val="21"/>
                <w:lang w:val="zh-CN"/>
              </w:rPr>
            </w:pPr>
            <w:r>
              <w:rPr>
                <w:rFonts w:hint="eastAsia" w:ascii="仿宋_GB2312" w:hAnsi="Calibri" w:eastAsia="仿宋_GB2312" w:cs="仿宋"/>
                <w:kern w:val="0"/>
                <w:szCs w:val="21"/>
                <w:lang w:val="zh-CN"/>
              </w:rPr>
              <w:t>50万元住房补贴；或10万元住房补贴+一套120㎡左右住房。</w:t>
            </w:r>
          </w:p>
        </w:tc>
        <w:tc>
          <w:tcPr>
            <w:tcW w:w="2552" w:type="dxa"/>
            <w:vMerge w:val="continue"/>
            <w:tcBorders>
              <w:top w:val="nil"/>
              <w:left w:val="single" w:color="auto" w:sz="4" w:space="0"/>
              <w:bottom w:val="single" w:color="000000" w:sz="2" w:space="0"/>
              <w:right w:val="single" w:color="000000" w:sz="6" w:space="0"/>
            </w:tcBorders>
            <w:vAlign w:val="center"/>
          </w:tcPr>
          <w:p>
            <w:pPr>
              <w:autoSpaceDE w:val="0"/>
              <w:autoSpaceDN w:val="0"/>
              <w:adjustRightInd w:val="0"/>
              <w:spacing w:after="200" w:line="340" w:lineRule="exact"/>
              <w:jc w:val="left"/>
              <w:rPr>
                <w:rFonts w:hint="eastAsia" w:ascii="仿宋_GB2312" w:hAnsi="Calibri" w:eastAsia="仿宋_GB2312" w:cs="宋体"/>
                <w:kern w:val="0"/>
                <w:szCs w:val="21"/>
                <w:lang w:val="zh-CN"/>
              </w:rPr>
            </w:pPr>
          </w:p>
        </w:tc>
      </w:tr>
      <w:tr>
        <w:tblPrEx>
          <w:tblLayout w:type="fixed"/>
          <w:tblCellMar>
            <w:top w:w="0" w:type="dxa"/>
            <w:left w:w="108" w:type="dxa"/>
            <w:bottom w:w="0" w:type="dxa"/>
            <w:right w:w="108" w:type="dxa"/>
          </w:tblCellMar>
        </w:tblPrEx>
        <w:trPr>
          <w:trHeight w:val="667" w:hRule="atLeast"/>
          <w:jc w:val="center"/>
        </w:trPr>
        <w:tc>
          <w:tcPr>
            <w:tcW w:w="1513" w:type="dxa"/>
            <w:gridSpan w:val="2"/>
            <w:tcBorders>
              <w:top w:val="single" w:color="000000" w:sz="2" w:space="0"/>
              <w:left w:val="single" w:color="000000" w:sz="6" w:space="0"/>
              <w:bottom w:val="single" w:color="000000" w:sz="2" w:space="0"/>
              <w:right w:val="single" w:color="000000" w:sz="6" w:space="0"/>
            </w:tcBorders>
            <w:vAlign w:val="center"/>
          </w:tcPr>
          <w:p>
            <w:pPr>
              <w:autoSpaceDE w:val="0"/>
              <w:autoSpaceDN w:val="0"/>
              <w:adjustRightInd w:val="0"/>
              <w:spacing w:line="340" w:lineRule="exact"/>
              <w:jc w:val="left"/>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五、其他领域急需人才</w:t>
            </w:r>
          </w:p>
        </w:tc>
        <w:tc>
          <w:tcPr>
            <w:tcW w:w="7230" w:type="dxa"/>
            <w:gridSpan w:val="5"/>
            <w:tcBorders>
              <w:top w:val="single" w:color="000000" w:sz="2" w:space="0"/>
              <w:left w:val="nil"/>
              <w:bottom w:val="single" w:color="000000" w:sz="2" w:space="0"/>
              <w:right w:val="single" w:color="000000" w:sz="2" w:space="0"/>
            </w:tcBorders>
            <w:vAlign w:val="center"/>
          </w:tcPr>
          <w:p>
            <w:pPr>
              <w:autoSpaceDE w:val="0"/>
              <w:autoSpaceDN w:val="0"/>
              <w:adjustRightInd w:val="0"/>
              <w:spacing w:line="340" w:lineRule="exact"/>
              <w:jc w:val="left"/>
              <w:rPr>
                <w:rFonts w:hint="eastAsia" w:ascii="仿宋_GB2312" w:hAnsi="Calibri" w:eastAsia="仿宋_GB2312" w:cs="宋体"/>
                <w:kern w:val="0"/>
                <w:szCs w:val="21"/>
                <w:lang w:val="zh-CN"/>
              </w:rPr>
            </w:pPr>
            <w:r>
              <w:rPr>
                <w:rFonts w:hint="eastAsia" w:ascii="仿宋_GB2312" w:hAnsi="Calibri" w:eastAsia="仿宋_GB2312" w:cs="仿宋"/>
                <w:kern w:val="0"/>
                <w:szCs w:val="21"/>
                <w:lang w:val="zh-CN"/>
              </w:rPr>
              <w:t>享受国家和校内规定的工资、福利等待遇。</w:t>
            </w:r>
          </w:p>
        </w:tc>
      </w:tr>
    </w:tbl>
    <w:p>
      <w:pPr>
        <w:autoSpaceDE w:val="0"/>
        <w:autoSpaceDN w:val="0"/>
        <w:adjustRightInd w:val="0"/>
        <w:ind w:firstLine="420"/>
        <w:rPr>
          <w:rFonts w:hint="eastAsia" w:ascii="仿宋_GB2312" w:hAnsi="Calibri" w:eastAsia="仿宋_GB2312" w:cs="仿宋"/>
          <w:color w:val="000000"/>
          <w:kern w:val="0"/>
          <w:sz w:val="24"/>
          <w:lang w:val="zh-CN"/>
        </w:rPr>
      </w:pPr>
    </w:p>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autoSpaceDE w:val="0"/>
        <w:autoSpaceDN w:val="0"/>
        <w:adjustRightInd w:val="0"/>
        <w:ind w:firstLine="420"/>
        <w:rPr>
          <w:rFonts w:hint="eastAsia" w:ascii="仿宋_GB2312" w:hAnsi="Calibri" w:eastAsia="仿宋_GB2312" w:cs="仿宋"/>
          <w:color w:val="000000"/>
          <w:kern w:val="0"/>
          <w:sz w:val="24"/>
          <w:lang w:val="zh-CN"/>
        </w:rPr>
      </w:pPr>
    </w:p>
    <w:p>
      <w:pPr>
        <w:spacing w:line="520" w:lineRule="exact"/>
        <w:rPr>
          <w:rFonts w:hint="eastAsia" w:ascii="仿宋_GB2312" w:eastAsia="仿宋_GB2312"/>
          <w:sz w:val="32"/>
          <w:szCs w:val="32"/>
        </w:rPr>
      </w:pPr>
    </w:p>
    <w:p>
      <w:pPr>
        <w:spacing w:line="520" w:lineRule="exact"/>
        <w:rPr>
          <w:rFonts w:hint="eastAsia" w:ascii="仿宋_GB2312" w:eastAsia="仿宋_GB2312"/>
          <w:sz w:val="32"/>
          <w:szCs w:val="32"/>
        </w:rPr>
      </w:pPr>
    </w:p>
    <w:p>
      <w:pPr>
        <w:spacing w:line="520" w:lineRule="exact"/>
        <w:ind w:firstLine="4320" w:firstLineChars="1350"/>
        <w:rPr>
          <w:rFonts w:hint="eastAsia" w:ascii="仿宋_GB2312" w:eastAsia="仿宋_GB2312"/>
          <w:sz w:val="32"/>
          <w:szCs w:val="32"/>
        </w:rPr>
      </w:pPr>
    </w:p>
    <w:p>
      <w:pPr>
        <w:spacing w:line="520" w:lineRule="exact"/>
        <w:rPr>
          <w:rFonts w:hint="eastAsia" w:ascii="华文中宋" w:hAnsi="华文中宋" w:eastAsia="华文中宋"/>
          <w:sz w:val="32"/>
          <w:szCs w:val="32"/>
          <w:u w:val="single"/>
        </w:rPr>
      </w:pPr>
      <w:r>
        <w:rPr>
          <w:rFonts w:hint="eastAsia" w:ascii="华文中宋" w:hAnsi="华文中宋" w:eastAsia="华文中宋"/>
          <w:sz w:val="32"/>
          <w:szCs w:val="32"/>
          <w:u w:val="single"/>
        </w:rPr>
        <w:t xml:space="preserve">                                                           </w:t>
      </w:r>
    </w:p>
    <w:p>
      <w:pPr>
        <w:spacing w:line="520" w:lineRule="exact"/>
        <w:rPr>
          <w:rFonts w:hint="eastAsia" w:ascii="仿宋_GB2312" w:eastAsia="仿宋_GB2312"/>
          <w:sz w:val="28"/>
          <w:szCs w:val="28"/>
          <w:u w:val="single"/>
        </w:rPr>
      </w:pPr>
      <w:r>
        <w:rPr>
          <w:rFonts w:hint="eastAsia" w:ascii="仿宋_GB2312" w:eastAsia="仿宋_GB2312"/>
          <w:sz w:val="28"/>
          <w:szCs w:val="28"/>
          <w:u w:val="single"/>
        </w:rPr>
        <w:t xml:space="preserve">  宁夏师范学院办公室                      2017年6月2日印发     　　   　</w:t>
      </w:r>
    </w:p>
    <w:p>
      <w:pPr>
        <w:spacing w:line="520" w:lineRule="exact"/>
        <w:ind w:right="460" w:firstLine="560" w:firstLineChars="200"/>
        <w:jc w:val="right"/>
        <w:rPr>
          <w:rFonts w:hint="eastAsia" w:ascii="仿宋_GB2312" w:eastAsia="仿宋_GB2312"/>
          <w:sz w:val="28"/>
          <w:szCs w:val="28"/>
        </w:rPr>
      </w:pPr>
      <w:r>
        <w:rPr>
          <w:rFonts w:hint="eastAsia" w:ascii="仿宋_GB2312" w:eastAsia="仿宋_GB2312"/>
          <w:sz w:val="28"/>
          <w:szCs w:val="28"/>
        </w:rPr>
        <w:t>共印11份</w:t>
      </w:r>
    </w:p>
    <w:sectPr>
      <w:headerReference r:id="rId3" w:type="default"/>
      <w:footerReference r:id="rId4" w:type="default"/>
      <w:footerReference r:id="rId5" w:type="even"/>
      <w:pgSz w:w="11907" w:h="16840"/>
      <w:pgMar w:top="2098" w:right="1474" w:bottom="1985" w:left="1588" w:header="851" w:footer="1729"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Times New Roman,ˎ̥">
    <w:altName w:val="Times New Roman"/>
    <w:panose1 w:val="00000000000000000000"/>
    <w:charset w:val="00"/>
    <w:family w:val="roman"/>
    <w:pitch w:val="default"/>
    <w:sig w:usb0="00000000" w:usb1="00000000" w:usb2="00000000" w:usb3="00000000" w:csb0="00040001" w:csb1="00000000"/>
  </w:font>
  <w:font w:name="小标宋">
    <w:altName w:val="Arial Unicode MS"/>
    <w:panose1 w:val="03000509000000000000"/>
    <w:charset w:val="86"/>
    <w:family w:val="script"/>
    <w:pitch w:val="default"/>
    <w:sig w:usb0="00000000"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1248" w:wrap="around" w:vAnchor="text" w:hAnchor="page" w:x="9254" w:y="292"/>
      <w:rPr>
        <w:rStyle w:val="14"/>
        <w:rFonts w:hint="eastAsia" w:ascii="宋体" w:hAnsi="宋体"/>
        <w:sz w:val="28"/>
        <w:szCs w:val="28"/>
      </w:rPr>
    </w:pPr>
    <w:r>
      <w:rPr>
        <w:rStyle w:val="14"/>
        <w:rFonts w:hint="eastAsia" w:ascii="宋体" w:hAnsi="宋体"/>
        <w:sz w:val="28"/>
        <w:szCs w:val="28"/>
      </w:rPr>
      <w:t xml:space="preserve">— </w:t>
    </w: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lang/>
      </w:rPr>
      <w:t>7</w:t>
    </w:r>
    <w:r>
      <w:rPr>
        <w:rStyle w:val="14"/>
        <w:rFonts w:ascii="宋体" w:hAnsi="宋体"/>
        <w:sz w:val="28"/>
        <w:szCs w:val="28"/>
      </w:rPr>
      <w:fldChar w:fldCharType="end"/>
    </w:r>
    <w:r>
      <w:rPr>
        <w:rStyle w:val="14"/>
        <w:rFonts w:hint="eastAsia" w:ascii="宋体" w:hAnsi="宋体"/>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1574" w:wrap="around" w:vAnchor="text" w:hAnchor="page" w:x="1589" w:y="292"/>
      <w:rPr>
        <w:rStyle w:val="14"/>
        <w:rFonts w:hint="eastAsia" w:ascii="宋体" w:hAnsi="宋体"/>
        <w:sz w:val="28"/>
        <w:szCs w:val="28"/>
      </w:rPr>
    </w:pPr>
    <w:r>
      <w:rPr>
        <w:rStyle w:val="14"/>
        <w:rFonts w:hint="eastAsia" w:ascii="宋体" w:hAnsi="宋体"/>
        <w:sz w:val="28"/>
        <w:szCs w:val="28"/>
      </w:rPr>
      <w:t xml:space="preserve">— </w:t>
    </w: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lang/>
      </w:rPr>
      <w:t>8</w:t>
    </w:r>
    <w:r>
      <w:rPr>
        <w:rStyle w:val="14"/>
        <w:rFonts w:ascii="宋体" w:hAnsi="宋体"/>
        <w:sz w:val="28"/>
        <w:szCs w:val="28"/>
      </w:rPr>
      <w:fldChar w:fldCharType="end"/>
    </w:r>
    <w:r>
      <w:rPr>
        <w:rStyle w:val="14"/>
        <w:rFonts w:hint="eastAsia" w:ascii="宋体" w:hAnsi="宋体"/>
        <w:sz w:val="28"/>
        <w:szCs w:val="28"/>
      </w:rPr>
      <w:t xml:space="preserve"> —</w:t>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01"/>
    <w:rsid w:val="00001965"/>
    <w:rsid w:val="00001D1F"/>
    <w:rsid w:val="000042F3"/>
    <w:rsid w:val="00006499"/>
    <w:rsid w:val="000075CC"/>
    <w:rsid w:val="00010CF0"/>
    <w:rsid w:val="00011B2D"/>
    <w:rsid w:val="0001476F"/>
    <w:rsid w:val="00016EB0"/>
    <w:rsid w:val="00017E9D"/>
    <w:rsid w:val="00023F66"/>
    <w:rsid w:val="00024B83"/>
    <w:rsid w:val="00027AC0"/>
    <w:rsid w:val="000303E2"/>
    <w:rsid w:val="00030A2B"/>
    <w:rsid w:val="000336BB"/>
    <w:rsid w:val="00036394"/>
    <w:rsid w:val="00036CA1"/>
    <w:rsid w:val="000414D8"/>
    <w:rsid w:val="00042244"/>
    <w:rsid w:val="00044736"/>
    <w:rsid w:val="00045C16"/>
    <w:rsid w:val="00046CCC"/>
    <w:rsid w:val="00050498"/>
    <w:rsid w:val="00050C00"/>
    <w:rsid w:val="0005171F"/>
    <w:rsid w:val="00051E71"/>
    <w:rsid w:val="00052429"/>
    <w:rsid w:val="0005249D"/>
    <w:rsid w:val="00053303"/>
    <w:rsid w:val="00054158"/>
    <w:rsid w:val="00055D65"/>
    <w:rsid w:val="000572E9"/>
    <w:rsid w:val="000576DC"/>
    <w:rsid w:val="00057C70"/>
    <w:rsid w:val="0006333A"/>
    <w:rsid w:val="000634C5"/>
    <w:rsid w:val="000635D1"/>
    <w:rsid w:val="00063D93"/>
    <w:rsid w:val="000644DA"/>
    <w:rsid w:val="000667A4"/>
    <w:rsid w:val="000721BD"/>
    <w:rsid w:val="000730AD"/>
    <w:rsid w:val="00074278"/>
    <w:rsid w:val="0007632E"/>
    <w:rsid w:val="00076636"/>
    <w:rsid w:val="00077140"/>
    <w:rsid w:val="00083BE2"/>
    <w:rsid w:val="00084556"/>
    <w:rsid w:val="00085FC2"/>
    <w:rsid w:val="000868C0"/>
    <w:rsid w:val="00086A3F"/>
    <w:rsid w:val="00086AE9"/>
    <w:rsid w:val="00086E17"/>
    <w:rsid w:val="00087386"/>
    <w:rsid w:val="00087CFF"/>
    <w:rsid w:val="00090146"/>
    <w:rsid w:val="00090BF8"/>
    <w:rsid w:val="0009243E"/>
    <w:rsid w:val="0009475F"/>
    <w:rsid w:val="00095AA9"/>
    <w:rsid w:val="00095F07"/>
    <w:rsid w:val="000A0977"/>
    <w:rsid w:val="000A0CBF"/>
    <w:rsid w:val="000A11DE"/>
    <w:rsid w:val="000A280E"/>
    <w:rsid w:val="000A3BA5"/>
    <w:rsid w:val="000A618A"/>
    <w:rsid w:val="000B04D6"/>
    <w:rsid w:val="000B2D7A"/>
    <w:rsid w:val="000B3DF2"/>
    <w:rsid w:val="000B47CD"/>
    <w:rsid w:val="000B5403"/>
    <w:rsid w:val="000B65C5"/>
    <w:rsid w:val="000C230C"/>
    <w:rsid w:val="000C4E81"/>
    <w:rsid w:val="000C5CCC"/>
    <w:rsid w:val="000C5F0C"/>
    <w:rsid w:val="000D2BC4"/>
    <w:rsid w:val="000D2F14"/>
    <w:rsid w:val="000D792B"/>
    <w:rsid w:val="000D7F84"/>
    <w:rsid w:val="000E0194"/>
    <w:rsid w:val="000E22B2"/>
    <w:rsid w:val="000E2687"/>
    <w:rsid w:val="000E3CD6"/>
    <w:rsid w:val="000E5122"/>
    <w:rsid w:val="000E5587"/>
    <w:rsid w:val="000E7107"/>
    <w:rsid w:val="000E7A43"/>
    <w:rsid w:val="000E7C97"/>
    <w:rsid w:val="000F01BE"/>
    <w:rsid w:val="000F04F5"/>
    <w:rsid w:val="000F105D"/>
    <w:rsid w:val="000F16D1"/>
    <w:rsid w:val="000F2338"/>
    <w:rsid w:val="000F257B"/>
    <w:rsid w:val="000F3FA7"/>
    <w:rsid w:val="000F4784"/>
    <w:rsid w:val="000F52CC"/>
    <w:rsid w:val="000F6593"/>
    <w:rsid w:val="000F687D"/>
    <w:rsid w:val="000F6C74"/>
    <w:rsid w:val="000F774B"/>
    <w:rsid w:val="000F7CA3"/>
    <w:rsid w:val="00100EB9"/>
    <w:rsid w:val="00101A1A"/>
    <w:rsid w:val="0010361F"/>
    <w:rsid w:val="00103810"/>
    <w:rsid w:val="00103832"/>
    <w:rsid w:val="00104EAE"/>
    <w:rsid w:val="00107333"/>
    <w:rsid w:val="001079A5"/>
    <w:rsid w:val="0011066E"/>
    <w:rsid w:val="001109CA"/>
    <w:rsid w:val="00113455"/>
    <w:rsid w:val="0011406F"/>
    <w:rsid w:val="0011792F"/>
    <w:rsid w:val="00121E35"/>
    <w:rsid w:val="00121FBE"/>
    <w:rsid w:val="00124C01"/>
    <w:rsid w:val="001251AA"/>
    <w:rsid w:val="001258B3"/>
    <w:rsid w:val="00126FA9"/>
    <w:rsid w:val="00127A6A"/>
    <w:rsid w:val="00131A7E"/>
    <w:rsid w:val="00131E3B"/>
    <w:rsid w:val="001326D4"/>
    <w:rsid w:val="001340D8"/>
    <w:rsid w:val="0013468B"/>
    <w:rsid w:val="0013671B"/>
    <w:rsid w:val="00140228"/>
    <w:rsid w:val="00141172"/>
    <w:rsid w:val="0014122C"/>
    <w:rsid w:val="00143D79"/>
    <w:rsid w:val="00144004"/>
    <w:rsid w:val="0014686B"/>
    <w:rsid w:val="00150657"/>
    <w:rsid w:val="0015077D"/>
    <w:rsid w:val="00150E47"/>
    <w:rsid w:val="0015246A"/>
    <w:rsid w:val="00155D7C"/>
    <w:rsid w:val="00157B20"/>
    <w:rsid w:val="00160AF7"/>
    <w:rsid w:val="00161073"/>
    <w:rsid w:val="00161330"/>
    <w:rsid w:val="00162F7A"/>
    <w:rsid w:val="001639B5"/>
    <w:rsid w:val="001656E2"/>
    <w:rsid w:val="00165BCF"/>
    <w:rsid w:val="001671E9"/>
    <w:rsid w:val="001702D0"/>
    <w:rsid w:val="00172117"/>
    <w:rsid w:val="00172131"/>
    <w:rsid w:val="00172AC0"/>
    <w:rsid w:val="0017389F"/>
    <w:rsid w:val="00174263"/>
    <w:rsid w:val="00174714"/>
    <w:rsid w:val="00174807"/>
    <w:rsid w:val="001759A0"/>
    <w:rsid w:val="00177FFC"/>
    <w:rsid w:val="00183576"/>
    <w:rsid w:val="001844B8"/>
    <w:rsid w:val="00185669"/>
    <w:rsid w:val="00187AA1"/>
    <w:rsid w:val="00191B92"/>
    <w:rsid w:val="00191CBD"/>
    <w:rsid w:val="00191EFA"/>
    <w:rsid w:val="001935E5"/>
    <w:rsid w:val="00193E73"/>
    <w:rsid w:val="001944DD"/>
    <w:rsid w:val="00195137"/>
    <w:rsid w:val="0019522C"/>
    <w:rsid w:val="00197205"/>
    <w:rsid w:val="001A05CD"/>
    <w:rsid w:val="001A20C9"/>
    <w:rsid w:val="001A2209"/>
    <w:rsid w:val="001A26F6"/>
    <w:rsid w:val="001A3FC8"/>
    <w:rsid w:val="001A4159"/>
    <w:rsid w:val="001A4622"/>
    <w:rsid w:val="001A46B7"/>
    <w:rsid w:val="001A4FDE"/>
    <w:rsid w:val="001A5462"/>
    <w:rsid w:val="001A62BC"/>
    <w:rsid w:val="001A63D1"/>
    <w:rsid w:val="001A784D"/>
    <w:rsid w:val="001B0CCF"/>
    <w:rsid w:val="001B10B9"/>
    <w:rsid w:val="001B2B35"/>
    <w:rsid w:val="001B484C"/>
    <w:rsid w:val="001C01E4"/>
    <w:rsid w:val="001C2B88"/>
    <w:rsid w:val="001C4D6C"/>
    <w:rsid w:val="001C5924"/>
    <w:rsid w:val="001C673C"/>
    <w:rsid w:val="001C6EF7"/>
    <w:rsid w:val="001C7F48"/>
    <w:rsid w:val="001D36E1"/>
    <w:rsid w:val="001D3F6E"/>
    <w:rsid w:val="001D7208"/>
    <w:rsid w:val="001D77AF"/>
    <w:rsid w:val="001D7E3F"/>
    <w:rsid w:val="001E251F"/>
    <w:rsid w:val="001E5232"/>
    <w:rsid w:val="001E602B"/>
    <w:rsid w:val="001E621B"/>
    <w:rsid w:val="001F0641"/>
    <w:rsid w:val="001F071E"/>
    <w:rsid w:val="001F1406"/>
    <w:rsid w:val="001F2002"/>
    <w:rsid w:val="001F6AD7"/>
    <w:rsid w:val="001F6CA5"/>
    <w:rsid w:val="0020159D"/>
    <w:rsid w:val="0020201B"/>
    <w:rsid w:val="00202F10"/>
    <w:rsid w:val="002044B9"/>
    <w:rsid w:val="002061E0"/>
    <w:rsid w:val="002064E6"/>
    <w:rsid w:val="002064FA"/>
    <w:rsid w:val="002068C0"/>
    <w:rsid w:val="00206EF4"/>
    <w:rsid w:val="00210AC5"/>
    <w:rsid w:val="00211411"/>
    <w:rsid w:val="00211B04"/>
    <w:rsid w:val="00211DB4"/>
    <w:rsid w:val="00212120"/>
    <w:rsid w:val="0021344D"/>
    <w:rsid w:val="00214B83"/>
    <w:rsid w:val="00215EE2"/>
    <w:rsid w:val="00216C6D"/>
    <w:rsid w:val="00220395"/>
    <w:rsid w:val="00220652"/>
    <w:rsid w:val="002210FB"/>
    <w:rsid w:val="00221F28"/>
    <w:rsid w:val="00222073"/>
    <w:rsid w:val="00222217"/>
    <w:rsid w:val="00226313"/>
    <w:rsid w:val="0022712E"/>
    <w:rsid w:val="00230A45"/>
    <w:rsid w:val="0023203B"/>
    <w:rsid w:val="002325E0"/>
    <w:rsid w:val="00236100"/>
    <w:rsid w:val="002368DD"/>
    <w:rsid w:val="002371BB"/>
    <w:rsid w:val="00237FE2"/>
    <w:rsid w:val="00240ABC"/>
    <w:rsid w:val="002421A0"/>
    <w:rsid w:val="00243517"/>
    <w:rsid w:val="00245671"/>
    <w:rsid w:val="00245C4C"/>
    <w:rsid w:val="00247C38"/>
    <w:rsid w:val="002508BE"/>
    <w:rsid w:val="00251AE5"/>
    <w:rsid w:val="00252A75"/>
    <w:rsid w:val="00253AF3"/>
    <w:rsid w:val="00255F23"/>
    <w:rsid w:val="0025752D"/>
    <w:rsid w:val="002607C9"/>
    <w:rsid w:val="00260AD6"/>
    <w:rsid w:val="00261041"/>
    <w:rsid w:val="00261385"/>
    <w:rsid w:val="00262014"/>
    <w:rsid w:val="00262EAA"/>
    <w:rsid w:val="00264196"/>
    <w:rsid w:val="00264D11"/>
    <w:rsid w:val="0026546A"/>
    <w:rsid w:val="00265C62"/>
    <w:rsid w:val="002660AD"/>
    <w:rsid w:val="00270A02"/>
    <w:rsid w:val="002717FB"/>
    <w:rsid w:val="00271C96"/>
    <w:rsid w:val="002738DE"/>
    <w:rsid w:val="00276F18"/>
    <w:rsid w:val="00285ECE"/>
    <w:rsid w:val="002863B8"/>
    <w:rsid w:val="00286712"/>
    <w:rsid w:val="00286F01"/>
    <w:rsid w:val="00287CAF"/>
    <w:rsid w:val="002946EA"/>
    <w:rsid w:val="00294A4A"/>
    <w:rsid w:val="00295C84"/>
    <w:rsid w:val="00295EAB"/>
    <w:rsid w:val="002A0A7B"/>
    <w:rsid w:val="002A0BFA"/>
    <w:rsid w:val="002A269E"/>
    <w:rsid w:val="002A40FE"/>
    <w:rsid w:val="002A4C75"/>
    <w:rsid w:val="002A52E1"/>
    <w:rsid w:val="002A5467"/>
    <w:rsid w:val="002A6C09"/>
    <w:rsid w:val="002A7176"/>
    <w:rsid w:val="002B06A3"/>
    <w:rsid w:val="002B1F23"/>
    <w:rsid w:val="002B33FE"/>
    <w:rsid w:val="002B6633"/>
    <w:rsid w:val="002B6CDF"/>
    <w:rsid w:val="002B6CF8"/>
    <w:rsid w:val="002C0E62"/>
    <w:rsid w:val="002C3CF7"/>
    <w:rsid w:val="002C3EF4"/>
    <w:rsid w:val="002C4A5A"/>
    <w:rsid w:val="002C5B16"/>
    <w:rsid w:val="002C5EA3"/>
    <w:rsid w:val="002D3949"/>
    <w:rsid w:val="002D458A"/>
    <w:rsid w:val="002D6079"/>
    <w:rsid w:val="002D6236"/>
    <w:rsid w:val="002D6C87"/>
    <w:rsid w:val="002D7C0E"/>
    <w:rsid w:val="002E0E00"/>
    <w:rsid w:val="002E119A"/>
    <w:rsid w:val="002E2B2C"/>
    <w:rsid w:val="002E67AE"/>
    <w:rsid w:val="002E6E9B"/>
    <w:rsid w:val="002F009C"/>
    <w:rsid w:val="002F1559"/>
    <w:rsid w:val="002F26C6"/>
    <w:rsid w:val="002F4CFA"/>
    <w:rsid w:val="002F57A9"/>
    <w:rsid w:val="002F6071"/>
    <w:rsid w:val="0030055B"/>
    <w:rsid w:val="00300EE7"/>
    <w:rsid w:val="0030227D"/>
    <w:rsid w:val="0030613A"/>
    <w:rsid w:val="003067B1"/>
    <w:rsid w:val="00306C77"/>
    <w:rsid w:val="003111AA"/>
    <w:rsid w:val="00312930"/>
    <w:rsid w:val="00314E42"/>
    <w:rsid w:val="00316C71"/>
    <w:rsid w:val="00317BBD"/>
    <w:rsid w:val="003204CD"/>
    <w:rsid w:val="00320688"/>
    <w:rsid w:val="00323373"/>
    <w:rsid w:val="00326031"/>
    <w:rsid w:val="00326AA5"/>
    <w:rsid w:val="00330200"/>
    <w:rsid w:val="003305D8"/>
    <w:rsid w:val="00332EF9"/>
    <w:rsid w:val="00335075"/>
    <w:rsid w:val="003362C0"/>
    <w:rsid w:val="003451EC"/>
    <w:rsid w:val="0034644E"/>
    <w:rsid w:val="003500EA"/>
    <w:rsid w:val="00350E09"/>
    <w:rsid w:val="003532FC"/>
    <w:rsid w:val="00353FCF"/>
    <w:rsid w:val="00355A41"/>
    <w:rsid w:val="0035683F"/>
    <w:rsid w:val="003568F0"/>
    <w:rsid w:val="00356F56"/>
    <w:rsid w:val="00360787"/>
    <w:rsid w:val="00361E7D"/>
    <w:rsid w:val="003713EF"/>
    <w:rsid w:val="00372D87"/>
    <w:rsid w:val="003755A9"/>
    <w:rsid w:val="00375CDD"/>
    <w:rsid w:val="00377A38"/>
    <w:rsid w:val="003803C3"/>
    <w:rsid w:val="0038086D"/>
    <w:rsid w:val="0038246D"/>
    <w:rsid w:val="003827D0"/>
    <w:rsid w:val="00382EB7"/>
    <w:rsid w:val="00383B99"/>
    <w:rsid w:val="00384D9C"/>
    <w:rsid w:val="0038616F"/>
    <w:rsid w:val="003866FC"/>
    <w:rsid w:val="00391923"/>
    <w:rsid w:val="003919B1"/>
    <w:rsid w:val="00393DA3"/>
    <w:rsid w:val="00393F3D"/>
    <w:rsid w:val="003948DE"/>
    <w:rsid w:val="00394E82"/>
    <w:rsid w:val="003971D2"/>
    <w:rsid w:val="00397AF5"/>
    <w:rsid w:val="003A126F"/>
    <w:rsid w:val="003A1C77"/>
    <w:rsid w:val="003A55AA"/>
    <w:rsid w:val="003A684D"/>
    <w:rsid w:val="003A6A75"/>
    <w:rsid w:val="003A7E12"/>
    <w:rsid w:val="003B1F76"/>
    <w:rsid w:val="003B30C1"/>
    <w:rsid w:val="003B37F0"/>
    <w:rsid w:val="003B6B5D"/>
    <w:rsid w:val="003B7333"/>
    <w:rsid w:val="003B7C0C"/>
    <w:rsid w:val="003C0D1A"/>
    <w:rsid w:val="003C1ECB"/>
    <w:rsid w:val="003C2B46"/>
    <w:rsid w:val="003C2EDB"/>
    <w:rsid w:val="003C326D"/>
    <w:rsid w:val="003C4804"/>
    <w:rsid w:val="003C5EAA"/>
    <w:rsid w:val="003D2114"/>
    <w:rsid w:val="003D33B5"/>
    <w:rsid w:val="003D5F9C"/>
    <w:rsid w:val="003D6050"/>
    <w:rsid w:val="003D66BB"/>
    <w:rsid w:val="003D742B"/>
    <w:rsid w:val="003D75EA"/>
    <w:rsid w:val="003D7D88"/>
    <w:rsid w:val="003D7F46"/>
    <w:rsid w:val="003E01C0"/>
    <w:rsid w:val="003E2E83"/>
    <w:rsid w:val="003E2F77"/>
    <w:rsid w:val="003E3391"/>
    <w:rsid w:val="003E399C"/>
    <w:rsid w:val="003E5CE0"/>
    <w:rsid w:val="003E6513"/>
    <w:rsid w:val="003F04BC"/>
    <w:rsid w:val="003F23B5"/>
    <w:rsid w:val="003F2952"/>
    <w:rsid w:val="003F2BAC"/>
    <w:rsid w:val="003F5944"/>
    <w:rsid w:val="003F597C"/>
    <w:rsid w:val="004006BC"/>
    <w:rsid w:val="00403F38"/>
    <w:rsid w:val="0040424D"/>
    <w:rsid w:val="00406FA3"/>
    <w:rsid w:val="004079E9"/>
    <w:rsid w:val="00411193"/>
    <w:rsid w:val="00411774"/>
    <w:rsid w:val="00411933"/>
    <w:rsid w:val="0041538C"/>
    <w:rsid w:val="00416DAC"/>
    <w:rsid w:val="0041762F"/>
    <w:rsid w:val="004201BA"/>
    <w:rsid w:val="0042020B"/>
    <w:rsid w:val="004223B8"/>
    <w:rsid w:val="004271DB"/>
    <w:rsid w:val="00430823"/>
    <w:rsid w:val="00430C8B"/>
    <w:rsid w:val="0043151D"/>
    <w:rsid w:val="00431683"/>
    <w:rsid w:val="0043262F"/>
    <w:rsid w:val="00432F10"/>
    <w:rsid w:val="00433514"/>
    <w:rsid w:val="00435616"/>
    <w:rsid w:val="00436CDC"/>
    <w:rsid w:val="00437150"/>
    <w:rsid w:val="00440FE6"/>
    <w:rsid w:val="004411FB"/>
    <w:rsid w:val="004416BB"/>
    <w:rsid w:val="0044674E"/>
    <w:rsid w:val="004502D3"/>
    <w:rsid w:val="00451730"/>
    <w:rsid w:val="00452F3C"/>
    <w:rsid w:val="00453B15"/>
    <w:rsid w:val="004549A1"/>
    <w:rsid w:val="00454EF3"/>
    <w:rsid w:val="00454FB1"/>
    <w:rsid w:val="0045671D"/>
    <w:rsid w:val="00456FF9"/>
    <w:rsid w:val="004623BB"/>
    <w:rsid w:val="004629E6"/>
    <w:rsid w:val="00467124"/>
    <w:rsid w:val="004720FE"/>
    <w:rsid w:val="00472B6A"/>
    <w:rsid w:val="00474B1E"/>
    <w:rsid w:val="004756EF"/>
    <w:rsid w:val="004769E4"/>
    <w:rsid w:val="004779B3"/>
    <w:rsid w:val="00483681"/>
    <w:rsid w:val="00483901"/>
    <w:rsid w:val="0048504A"/>
    <w:rsid w:val="004864C8"/>
    <w:rsid w:val="0048654B"/>
    <w:rsid w:val="0048767D"/>
    <w:rsid w:val="004914E8"/>
    <w:rsid w:val="00491B55"/>
    <w:rsid w:val="00492EC2"/>
    <w:rsid w:val="00492F59"/>
    <w:rsid w:val="00493998"/>
    <w:rsid w:val="00493CB1"/>
    <w:rsid w:val="004946D6"/>
    <w:rsid w:val="00494B8E"/>
    <w:rsid w:val="00494D41"/>
    <w:rsid w:val="00495D66"/>
    <w:rsid w:val="0049695E"/>
    <w:rsid w:val="00497897"/>
    <w:rsid w:val="004A0E98"/>
    <w:rsid w:val="004A43B6"/>
    <w:rsid w:val="004A6B83"/>
    <w:rsid w:val="004A78D6"/>
    <w:rsid w:val="004B0CAC"/>
    <w:rsid w:val="004B27AB"/>
    <w:rsid w:val="004B4BA0"/>
    <w:rsid w:val="004B4E00"/>
    <w:rsid w:val="004B5388"/>
    <w:rsid w:val="004C0987"/>
    <w:rsid w:val="004C2F38"/>
    <w:rsid w:val="004C4D46"/>
    <w:rsid w:val="004C73B1"/>
    <w:rsid w:val="004D1684"/>
    <w:rsid w:val="004D1FA7"/>
    <w:rsid w:val="004D23CD"/>
    <w:rsid w:val="004D58B6"/>
    <w:rsid w:val="004D7F9E"/>
    <w:rsid w:val="004E0260"/>
    <w:rsid w:val="004E0F55"/>
    <w:rsid w:val="004E164C"/>
    <w:rsid w:val="004E2CAB"/>
    <w:rsid w:val="004E351E"/>
    <w:rsid w:val="004E354D"/>
    <w:rsid w:val="004E3E18"/>
    <w:rsid w:val="004E51A8"/>
    <w:rsid w:val="004E5B74"/>
    <w:rsid w:val="004E5FA2"/>
    <w:rsid w:val="004E758A"/>
    <w:rsid w:val="004F0C5C"/>
    <w:rsid w:val="004F302D"/>
    <w:rsid w:val="004F3B3C"/>
    <w:rsid w:val="004F3BA0"/>
    <w:rsid w:val="004F4753"/>
    <w:rsid w:val="004F49D2"/>
    <w:rsid w:val="004F5F35"/>
    <w:rsid w:val="004F6F68"/>
    <w:rsid w:val="004F7845"/>
    <w:rsid w:val="00500324"/>
    <w:rsid w:val="005036E9"/>
    <w:rsid w:val="00503E6D"/>
    <w:rsid w:val="00510526"/>
    <w:rsid w:val="00512B19"/>
    <w:rsid w:val="00512BD1"/>
    <w:rsid w:val="00512E05"/>
    <w:rsid w:val="00512F16"/>
    <w:rsid w:val="005139FD"/>
    <w:rsid w:val="00513FEB"/>
    <w:rsid w:val="00514293"/>
    <w:rsid w:val="00516B34"/>
    <w:rsid w:val="00520FA3"/>
    <w:rsid w:val="00521F9B"/>
    <w:rsid w:val="005237FD"/>
    <w:rsid w:val="005246C1"/>
    <w:rsid w:val="005255D1"/>
    <w:rsid w:val="00525A01"/>
    <w:rsid w:val="005262E4"/>
    <w:rsid w:val="00526A36"/>
    <w:rsid w:val="0053065F"/>
    <w:rsid w:val="0053356D"/>
    <w:rsid w:val="00534625"/>
    <w:rsid w:val="00534BE4"/>
    <w:rsid w:val="00535C6C"/>
    <w:rsid w:val="00535FD5"/>
    <w:rsid w:val="00537FE5"/>
    <w:rsid w:val="00542603"/>
    <w:rsid w:val="0054452E"/>
    <w:rsid w:val="00545884"/>
    <w:rsid w:val="00545B3F"/>
    <w:rsid w:val="00546046"/>
    <w:rsid w:val="00546A7D"/>
    <w:rsid w:val="00546E15"/>
    <w:rsid w:val="00553497"/>
    <w:rsid w:val="00556E57"/>
    <w:rsid w:val="005611A2"/>
    <w:rsid w:val="00561A61"/>
    <w:rsid w:val="00563B2C"/>
    <w:rsid w:val="00566975"/>
    <w:rsid w:val="0056722B"/>
    <w:rsid w:val="0056728F"/>
    <w:rsid w:val="005676B9"/>
    <w:rsid w:val="005716F7"/>
    <w:rsid w:val="005722D6"/>
    <w:rsid w:val="00573702"/>
    <w:rsid w:val="0057491F"/>
    <w:rsid w:val="00575A4A"/>
    <w:rsid w:val="0057681B"/>
    <w:rsid w:val="00576EC4"/>
    <w:rsid w:val="00580338"/>
    <w:rsid w:val="00580CD7"/>
    <w:rsid w:val="00581B1D"/>
    <w:rsid w:val="00582CD0"/>
    <w:rsid w:val="0058458D"/>
    <w:rsid w:val="00584F60"/>
    <w:rsid w:val="005865B9"/>
    <w:rsid w:val="00590854"/>
    <w:rsid w:val="005927A2"/>
    <w:rsid w:val="00592D57"/>
    <w:rsid w:val="00594445"/>
    <w:rsid w:val="00597C66"/>
    <w:rsid w:val="005A020E"/>
    <w:rsid w:val="005A1D3D"/>
    <w:rsid w:val="005B0235"/>
    <w:rsid w:val="005B11B6"/>
    <w:rsid w:val="005B1827"/>
    <w:rsid w:val="005B2B7F"/>
    <w:rsid w:val="005B2DA6"/>
    <w:rsid w:val="005B32A8"/>
    <w:rsid w:val="005B5259"/>
    <w:rsid w:val="005B6137"/>
    <w:rsid w:val="005B70A6"/>
    <w:rsid w:val="005C0B58"/>
    <w:rsid w:val="005C1B43"/>
    <w:rsid w:val="005C1F7E"/>
    <w:rsid w:val="005C2200"/>
    <w:rsid w:val="005C6EB9"/>
    <w:rsid w:val="005C76FD"/>
    <w:rsid w:val="005C78CF"/>
    <w:rsid w:val="005D29B6"/>
    <w:rsid w:val="005D3322"/>
    <w:rsid w:val="005D49B3"/>
    <w:rsid w:val="005D4D9B"/>
    <w:rsid w:val="005D4DC1"/>
    <w:rsid w:val="005D51A3"/>
    <w:rsid w:val="005D5706"/>
    <w:rsid w:val="005D620A"/>
    <w:rsid w:val="005D7000"/>
    <w:rsid w:val="005D7668"/>
    <w:rsid w:val="005D7A89"/>
    <w:rsid w:val="005E1E5C"/>
    <w:rsid w:val="005E2358"/>
    <w:rsid w:val="005E2E57"/>
    <w:rsid w:val="005E4B88"/>
    <w:rsid w:val="005E6FCB"/>
    <w:rsid w:val="005E7786"/>
    <w:rsid w:val="005F1F5B"/>
    <w:rsid w:val="005F306B"/>
    <w:rsid w:val="005F50C9"/>
    <w:rsid w:val="005F5637"/>
    <w:rsid w:val="005F5B13"/>
    <w:rsid w:val="005F6987"/>
    <w:rsid w:val="00600C8A"/>
    <w:rsid w:val="00601BD0"/>
    <w:rsid w:val="00604114"/>
    <w:rsid w:val="0060586A"/>
    <w:rsid w:val="006072AA"/>
    <w:rsid w:val="00610491"/>
    <w:rsid w:val="00611E7B"/>
    <w:rsid w:val="00613DAF"/>
    <w:rsid w:val="00613F40"/>
    <w:rsid w:val="006153A9"/>
    <w:rsid w:val="00615692"/>
    <w:rsid w:val="006213F9"/>
    <w:rsid w:val="00622811"/>
    <w:rsid w:val="00626129"/>
    <w:rsid w:val="00626807"/>
    <w:rsid w:val="00627F58"/>
    <w:rsid w:val="00631535"/>
    <w:rsid w:val="00632D47"/>
    <w:rsid w:val="0063411D"/>
    <w:rsid w:val="00634641"/>
    <w:rsid w:val="0063669E"/>
    <w:rsid w:val="00637DD0"/>
    <w:rsid w:val="006405AF"/>
    <w:rsid w:val="006434E5"/>
    <w:rsid w:val="00643C4A"/>
    <w:rsid w:val="006441AE"/>
    <w:rsid w:val="00645165"/>
    <w:rsid w:val="00646397"/>
    <w:rsid w:val="00646B69"/>
    <w:rsid w:val="00652B1D"/>
    <w:rsid w:val="00652B20"/>
    <w:rsid w:val="00653322"/>
    <w:rsid w:val="00656DC7"/>
    <w:rsid w:val="00656F48"/>
    <w:rsid w:val="006606EC"/>
    <w:rsid w:val="006626BD"/>
    <w:rsid w:val="00662B65"/>
    <w:rsid w:val="00663489"/>
    <w:rsid w:val="00665037"/>
    <w:rsid w:val="0066666E"/>
    <w:rsid w:val="006673DF"/>
    <w:rsid w:val="00667502"/>
    <w:rsid w:val="006716E3"/>
    <w:rsid w:val="00672ED7"/>
    <w:rsid w:val="00673241"/>
    <w:rsid w:val="00674090"/>
    <w:rsid w:val="006741CD"/>
    <w:rsid w:val="0067585B"/>
    <w:rsid w:val="006761A2"/>
    <w:rsid w:val="0067708A"/>
    <w:rsid w:val="00677F1B"/>
    <w:rsid w:val="00680CE5"/>
    <w:rsid w:val="00681D19"/>
    <w:rsid w:val="006822BD"/>
    <w:rsid w:val="00692333"/>
    <w:rsid w:val="00693B47"/>
    <w:rsid w:val="006944D0"/>
    <w:rsid w:val="00696066"/>
    <w:rsid w:val="00697526"/>
    <w:rsid w:val="0069785B"/>
    <w:rsid w:val="006A0B7C"/>
    <w:rsid w:val="006A0F4E"/>
    <w:rsid w:val="006A3F46"/>
    <w:rsid w:val="006A438D"/>
    <w:rsid w:val="006B0C90"/>
    <w:rsid w:val="006B4BCA"/>
    <w:rsid w:val="006B54A8"/>
    <w:rsid w:val="006B7709"/>
    <w:rsid w:val="006C0629"/>
    <w:rsid w:val="006C13BD"/>
    <w:rsid w:val="006C1837"/>
    <w:rsid w:val="006C47C3"/>
    <w:rsid w:val="006C572D"/>
    <w:rsid w:val="006C63FD"/>
    <w:rsid w:val="006C7504"/>
    <w:rsid w:val="006D5FFA"/>
    <w:rsid w:val="006D6DC2"/>
    <w:rsid w:val="006D76F2"/>
    <w:rsid w:val="006E090E"/>
    <w:rsid w:val="006E0F6A"/>
    <w:rsid w:val="006E1A99"/>
    <w:rsid w:val="006E1D9B"/>
    <w:rsid w:val="006E35F2"/>
    <w:rsid w:val="006E5029"/>
    <w:rsid w:val="006E5B28"/>
    <w:rsid w:val="006E65A1"/>
    <w:rsid w:val="006F1C11"/>
    <w:rsid w:val="006F2C65"/>
    <w:rsid w:val="006F5517"/>
    <w:rsid w:val="006F55C0"/>
    <w:rsid w:val="006F58FD"/>
    <w:rsid w:val="006F619F"/>
    <w:rsid w:val="006F6AED"/>
    <w:rsid w:val="006F6C81"/>
    <w:rsid w:val="006F73C5"/>
    <w:rsid w:val="006F7800"/>
    <w:rsid w:val="006F78ED"/>
    <w:rsid w:val="00701545"/>
    <w:rsid w:val="00702C43"/>
    <w:rsid w:val="00703DDA"/>
    <w:rsid w:val="007059F4"/>
    <w:rsid w:val="00705C1C"/>
    <w:rsid w:val="0070706B"/>
    <w:rsid w:val="00711C5D"/>
    <w:rsid w:val="00712124"/>
    <w:rsid w:val="007131D3"/>
    <w:rsid w:val="0071377E"/>
    <w:rsid w:val="0071544D"/>
    <w:rsid w:val="007157CC"/>
    <w:rsid w:val="00722873"/>
    <w:rsid w:val="00726A88"/>
    <w:rsid w:val="007274C1"/>
    <w:rsid w:val="0073065E"/>
    <w:rsid w:val="007332DB"/>
    <w:rsid w:val="00733C97"/>
    <w:rsid w:val="00734B6C"/>
    <w:rsid w:val="00735545"/>
    <w:rsid w:val="00740D47"/>
    <w:rsid w:val="00741DB5"/>
    <w:rsid w:val="00742332"/>
    <w:rsid w:val="00743AFE"/>
    <w:rsid w:val="00744606"/>
    <w:rsid w:val="00747133"/>
    <w:rsid w:val="0074725A"/>
    <w:rsid w:val="007473FB"/>
    <w:rsid w:val="007526F3"/>
    <w:rsid w:val="00755764"/>
    <w:rsid w:val="00755A74"/>
    <w:rsid w:val="00755B9E"/>
    <w:rsid w:val="007561D3"/>
    <w:rsid w:val="00760FA0"/>
    <w:rsid w:val="0076228B"/>
    <w:rsid w:val="00762B20"/>
    <w:rsid w:val="007632E8"/>
    <w:rsid w:val="007641B2"/>
    <w:rsid w:val="00764A8B"/>
    <w:rsid w:val="00765014"/>
    <w:rsid w:val="0076563D"/>
    <w:rsid w:val="00767BCD"/>
    <w:rsid w:val="00771E52"/>
    <w:rsid w:val="00772DCF"/>
    <w:rsid w:val="00773476"/>
    <w:rsid w:val="007738BC"/>
    <w:rsid w:val="00773A8B"/>
    <w:rsid w:val="00775DFB"/>
    <w:rsid w:val="00777FC3"/>
    <w:rsid w:val="0078111A"/>
    <w:rsid w:val="00782D14"/>
    <w:rsid w:val="007831D2"/>
    <w:rsid w:val="00784178"/>
    <w:rsid w:val="00787B1D"/>
    <w:rsid w:val="00790410"/>
    <w:rsid w:val="00791C66"/>
    <w:rsid w:val="00791D88"/>
    <w:rsid w:val="0079386F"/>
    <w:rsid w:val="0079396A"/>
    <w:rsid w:val="007A0CD9"/>
    <w:rsid w:val="007A1F7D"/>
    <w:rsid w:val="007A29BA"/>
    <w:rsid w:val="007A3703"/>
    <w:rsid w:val="007A4E7A"/>
    <w:rsid w:val="007B15A3"/>
    <w:rsid w:val="007B2D5C"/>
    <w:rsid w:val="007B348B"/>
    <w:rsid w:val="007B4276"/>
    <w:rsid w:val="007B4E42"/>
    <w:rsid w:val="007B553A"/>
    <w:rsid w:val="007B61EB"/>
    <w:rsid w:val="007B6B8C"/>
    <w:rsid w:val="007C16C1"/>
    <w:rsid w:val="007C3876"/>
    <w:rsid w:val="007C50BC"/>
    <w:rsid w:val="007C5175"/>
    <w:rsid w:val="007D014E"/>
    <w:rsid w:val="007D14A0"/>
    <w:rsid w:val="007D176D"/>
    <w:rsid w:val="007D2377"/>
    <w:rsid w:val="007D2BE7"/>
    <w:rsid w:val="007D3710"/>
    <w:rsid w:val="007D5130"/>
    <w:rsid w:val="007D7214"/>
    <w:rsid w:val="007E0B54"/>
    <w:rsid w:val="007E1154"/>
    <w:rsid w:val="007E3B91"/>
    <w:rsid w:val="007E5931"/>
    <w:rsid w:val="007E628E"/>
    <w:rsid w:val="007F0137"/>
    <w:rsid w:val="007F152E"/>
    <w:rsid w:val="007F18E3"/>
    <w:rsid w:val="007F38E1"/>
    <w:rsid w:val="007F4146"/>
    <w:rsid w:val="007F6C7B"/>
    <w:rsid w:val="007F772E"/>
    <w:rsid w:val="00800C7E"/>
    <w:rsid w:val="00800E55"/>
    <w:rsid w:val="008027F8"/>
    <w:rsid w:val="00803710"/>
    <w:rsid w:val="0080761A"/>
    <w:rsid w:val="0081354F"/>
    <w:rsid w:val="00813950"/>
    <w:rsid w:val="008140ED"/>
    <w:rsid w:val="00814BDF"/>
    <w:rsid w:val="00816AED"/>
    <w:rsid w:val="00817E13"/>
    <w:rsid w:val="00820D09"/>
    <w:rsid w:val="008222C2"/>
    <w:rsid w:val="00822AEB"/>
    <w:rsid w:val="0082455B"/>
    <w:rsid w:val="00825A14"/>
    <w:rsid w:val="00826A42"/>
    <w:rsid w:val="00826E11"/>
    <w:rsid w:val="00827D8D"/>
    <w:rsid w:val="008311C0"/>
    <w:rsid w:val="00832039"/>
    <w:rsid w:val="00832191"/>
    <w:rsid w:val="0083284F"/>
    <w:rsid w:val="008329BA"/>
    <w:rsid w:val="00833895"/>
    <w:rsid w:val="00834243"/>
    <w:rsid w:val="0083504E"/>
    <w:rsid w:val="00836380"/>
    <w:rsid w:val="00837ECB"/>
    <w:rsid w:val="00837EF5"/>
    <w:rsid w:val="00840092"/>
    <w:rsid w:val="00840782"/>
    <w:rsid w:val="00842863"/>
    <w:rsid w:val="0084327F"/>
    <w:rsid w:val="0084524D"/>
    <w:rsid w:val="00845C10"/>
    <w:rsid w:val="00850868"/>
    <w:rsid w:val="00851CFB"/>
    <w:rsid w:val="00854E95"/>
    <w:rsid w:val="00855103"/>
    <w:rsid w:val="00857396"/>
    <w:rsid w:val="008577EE"/>
    <w:rsid w:val="00860C7C"/>
    <w:rsid w:val="008617F6"/>
    <w:rsid w:val="00862100"/>
    <w:rsid w:val="00866AA0"/>
    <w:rsid w:val="0087255E"/>
    <w:rsid w:val="00875574"/>
    <w:rsid w:val="008756BB"/>
    <w:rsid w:val="0087665C"/>
    <w:rsid w:val="00876D05"/>
    <w:rsid w:val="00880C24"/>
    <w:rsid w:val="008811ED"/>
    <w:rsid w:val="008833D8"/>
    <w:rsid w:val="00885C1F"/>
    <w:rsid w:val="00886507"/>
    <w:rsid w:val="00886BA1"/>
    <w:rsid w:val="00886E1E"/>
    <w:rsid w:val="00890180"/>
    <w:rsid w:val="008922E8"/>
    <w:rsid w:val="008925BA"/>
    <w:rsid w:val="00892C87"/>
    <w:rsid w:val="008931D6"/>
    <w:rsid w:val="008949E2"/>
    <w:rsid w:val="00894EFC"/>
    <w:rsid w:val="00897C80"/>
    <w:rsid w:val="008A17A5"/>
    <w:rsid w:val="008A3938"/>
    <w:rsid w:val="008A481D"/>
    <w:rsid w:val="008A685E"/>
    <w:rsid w:val="008A7A75"/>
    <w:rsid w:val="008B30DE"/>
    <w:rsid w:val="008C2CEB"/>
    <w:rsid w:val="008C422F"/>
    <w:rsid w:val="008C47A1"/>
    <w:rsid w:val="008C678B"/>
    <w:rsid w:val="008D0537"/>
    <w:rsid w:val="008D553E"/>
    <w:rsid w:val="008D6464"/>
    <w:rsid w:val="008E22E7"/>
    <w:rsid w:val="008E2825"/>
    <w:rsid w:val="008E4006"/>
    <w:rsid w:val="008E484F"/>
    <w:rsid w:val="008E6EE0"/>
    <w:rsid w:val="008F1827"/>
    <w:rsid w:val="008F34DF"/>
    <w:rsid w:val="008F3BFD"/>
    <w:rsid w:val="008F44F9"/>
    <w:rsid w:val="008F550F"/>
    <w:rsid w:val="008F74F4"/>
    <w:rsid w:val="0090024F"/>
    <w:rsid w:val="00900A9F"/>
    <w:rsid w:val="00901B60"/>
    <w:rsid w:val="00904462"/>
    <w:rsid w:val="0090580B"/>
    <w:rsid w:val="00907C24"/>
    <w:rsid w:val="00910A0C"/>
    <w:rsid w:val="009125B3"/>
    <w:rsid w:val="00913B0A"/>
    <w:rsid w:val="00915F1D"/>
    <w:rsid w:val="00920F99"/>
    <w:rsid w:val="009218FE"/>
    <w:rsid w:val="009229C0"/>
    <w:rsid w:val="00922D01"/>
    <w:rsid w:val="00923943"/>
    <w:rsid w:val="009259A6"/>
    <w:rsid w:val="00925D55"/>
    <w:rsid w:val="009269CA"/>
    <w:rsid w:val="009273A9"/>
    <w:rsid w:val="00927A0F"/>
    <w:rsid w:val="00927F53"/>
    <w:rsid w:val="00930588"/>
    <w:rsid w:val="009310DA"/>
    <w:rsid w:val="00931E31"/>
    <w:rsid w:val="00932A7B"/>
    <w:rsid w:val="00933275"/>
    <w:rsid w:val="0093522D"/>
    <w:rsid w:val="0093621B"/>
    <w:rsid w:val="00936EA6"/>
    <w:rsid w:val="0093766A"/>
    <w:rsid w:val="009379C0"/>
    <w:rsid w:val="009409F1"/>
    <w:rsid w:val="00942057"/>
    <w:rsid w:val="00942472"/>
    <w:rsid w:val="00943BF2"/>
    <w:rsid w:val="00946A17"/>
    <w:rsid w:val="00946B30"/>
    <w:rsid w:val="00946C30"/>
    <w:rsid w:val="0094701F"/>
    <w:rsid w:val="009476B4"/>
    <w:rsid w:val="00950EF3"/>
    <w:rsid w:val="00953883"/>
    <w:rsid w:val="00953F82"/>
    <w:rsid w:val="009549FC"/>
    <w:rsid w:val="00954A45"/>
    <w:rsid w:val="00961B02"/>
    <w:rsid w:val="00961CF9"/>
    <w:rsid w:val="009627F5"/>
    <w:rsid w:val="00962E94"/>
    <w:rsid w:val="00964112"/>
    <w:rsid w:val="00965789"/>
    <w:rsid w:val="00966AE4"/>
    <w:rsid w:val="00967507"/>
    <w:rsid w:val="00971E6B"/>
    <w:rsid w:val="009725A1"/>
    <w:rsid w:val="00973603"/>
    <w:rsid w:val="00973860"/>
    <w:rsid w:val="0097464C"/>
    <w:rsid w:val="009747AD"/>
    <w:rsid w:val="00975976"/>
    <w:rsid w:val="00975BC2"/>
    <w:rsid w:val="00975DEF"/>
    <w:rsid w:val="00977E7F"/>
    <w:rsid w:val="00980741"/>
    <w:rsid w:val="00982E4B"/>
    <w:rsid w:val="00983D4D"/>
    <w:rsid w:val="00984219"/>
    <w:rsid w:val="00990F56"/>
    <w:rsid w:val="00993322"/>
    <w:rsid w:val="00996799"/>
    <w:rsid w:val="0099715F"/>
    <w:rsid w:val="009A09C9"/>
    <w:rsid w:val="009A23BC"/>
    <w:rsid w:val="009A262C"/>
    <w:rsid w:val="009A74F0"/>
    <w:rsid w:val="009B0EE8"/>
    <w:rsid w:val="009B1B0F"/>
    <w:rsid w:val="009B4193"/>
    <w:rsid w:val="009B5C67"/>
    <w:rsid w:val="009B6BD8"/>
    <w:rsid w:val="009C0387"/>
    <w:rsid w:val="009C185E"/>
    <w:rsid w:val="009C3136"/>
    <w:rsid w:val="009C40E0"/>
    <w:rsid w:val="009C522D"/>
    <w:rsid w:val="009D022D"/>
    <w:rsid w:val="009D0F12"/>
    <w:rsid w:val="009D311E"/>
    <w:rsid w:val="009D40AF"/>
    <w:rsid w:val="009D7B95"/>
    <w:rsid w:val="009E2620"/>
    <w:rsid w:val="009E2EB4"/>
    <w:rsid w:val="009E3477"/>
    <w:rsid w:val="009E3497"/>
    <w:rsid w:val="009E36D0"/>
    <w:rsid w:val="009E4B20"/>
    <w:rsid w:val="009E655F"/>
    <w:rsid w:val="009F0D2C"/>
    <w:rsid w:val="009F1C0C"/>
    <w:rsid w:val="009F3E00"/>
    <w:rsid w:val="009F3F4F"/>
    <w:rsid w:val="009F46A5"/>
    <w:rsid w:val="00A01CD5"/>
    <w:rsid w:val="00A03FC4"/>
    <w:rsid w:val="00A04999"/>
    <w:rsid w:val="00A04C9D"/>
    <w:rsid w:val="00A058AF"/>
    <w:rsid w:val="00A06295"/>
    <w:rsid w:val="00A10A94"/>
    <w:rsid w:val="00A10F0B"/>
    <w:rsid w:val="00A114F3"/>
    <w:rsid w:val="00A127F2"/>
    <w:rsid w:val="00A12A2C"/>
    <w:rsid w:val="00A162B5"/>
    <w:rsid w:val="00A20878"/>
    <w:rsid w:val="00A209C3"/>
    <w:rsid w:val="00A20A23"/>
    <w:rsid w:val="00A224AB"/>
    <w:rsid w:val="00A22CAE"/>
    <w:rsid w:val="00A22DA7"/>
    <w:rsid w:val="00A22F42"/>
    <w:rsid w:val="00A23837"/>
    <w:rsid w:val="00A23B3D"/>
    <w:rsid w:val="00A23B60"/>
    <w:rsid w:val="00A24AF3"/>
    <w:rsid w:val="00A26E52"/>
    <w:rsid w:val="00A272B3"/>
    <w:rsid w:val="00A3037B"/>
    <w:rsid w:val="00A3242F"/>
    <w:rsid w:val="00A32D1C"/>
    <w:rsid w:val="00A360E2"/>
    <w:rsid w:val="00A373E7"/>
    <w:rsid w:val="00A40D88"/>
    <w:rsid w:val="00A42103"/>
    <w:rsid w:val="00A42185"/>
    <w:rsid w:val="00A42731"/>
    <w:rsid w:val="00A42F71"/>
    <w:rsid w:val="00A4341D"/>
    <w:rsid w:val="00A4368D"/>
    <w:rsid w:val="00A4527F"/>
    <w:rsid w:val="00A45B5A"/>
    <w:rsid w:val="00A47B78"/>
    <w:rsid w:val="00A51679"/>
    <w:rsid w:val="00A56E9C"/>
    <w:rsid w:val="00A57193"/>
    <w:rsid w:val="00A579E1"/>
    <w:rsid w:val="00A61299"/>
    <w:rsid w:val="00A621AA"/>
    <w:rsid w:val="00A62963"/>
    <w:rsid w:val="00A6314E"/>
    <w:rsid w:val="00A64BDE"/>
    <w:rsid w:val="00A64E43"/>
    <w:rsid w:val="00A6507E"/>
    <w:rsid w:val="00A67F24"/>
    <w:rsid w:val="00A752E9"/>
    <w:rsid w:val="00A76339"/>
    <w:rsid w:val="00A7753E"/>
    <w:rsid w:val="00A81C15"/>
    <w:rsid w:val="00A82376"/>
    <w:rsid w:val="00A85502"/>
    <w:rsid w:val="00A85549"/>
    <w:rsid w:val="00A85C06"/>
    <w:rsid w:val="00A877B0"/>
    <w:rsid w:val="00A90B44"/>
    <w:rsid w:val="00A90FC6"/>
    <w:rsid w:val="00A91325"/>
    <w:rsid w:val="00A91327"/>
    <w:rsid w:val="00A9317F"/>
    <w:rsid w:val="00A93373"/>
    <w:rsid w:val="00A93CA4"/>
    <w:rsid w:val="00A9440E"/>
    <w:rsid w:val="00A955CD"/>
    <w:rsid w:val="00A957A4"/>
    <w:rsid w:val="00A95B74"/>
    <w:rsid w:val="00A96859"/>
    <w:rsid w:val="00AA0BA4"/>
    <w:rsid w:val="00AA0C66"/>
    <w:rsid w:val="00AA1108"/>
    <w:rsid w:val="00AA12FC"/>
    <w:rsid w:val="00AA2E5A"/>
    <w:rsid w:val="00AA4F52"/>
    <w:rsid w:val="00AA5211"/>
    <w:rsid w:val="00AA62C1"/>
    <w:rsid w:val="00AA6EA6"/>
    <w:rsid w:val="00AA7020"/>
    <w:rsid w:val="00AB2384"/>
    <w:rsid w:val="00AB2926"/>
    <w:rsid w:val="00AB3131"/>
    <w:rsid w:val="00AB31B7"/>
    <w:rsid w:val="00AB488A"/>
    <w:rsid w:val="00AB5E08"/>
    <w:rsid w:val="00AB7117"/>
    <w:rsid w:val="00AB716C"/>
    <w:rsid w:val="00AC204A"/>
    <w:rsid w:val="00AC2CF3"/>
    <w:rsid w:val="00AC320F"/>
    <w:rsid w:val="00AD02E7"/>
    <w:rsid w:val="00AD211A"/>
    <w:rsid w:val="00AE2A48"/>
    <w:rsid w:val="00AE381B"/>
    <w:rsid w:val="00AE4114"/>
    <w:rsid w:val="00AE47BA"/>
    <w:rsid w:val="00AE4ED9"/>
    <w:rsid w:val="00AE6852"/>
    <w:rsid w:val="00AE6AB0"/>
    <w:rsid w:val="00AF03FC"/>
    <w:rsid w:val="00AF252E"/>
    <w:rsid w:val="00AF5733"/>
    <w:rsid w:val="00AF582B"/>
    <w:rsid w:val="00AF65E2"/>
    <w:rsid w:val="00AF7CDC"/>
    <w:rsid w:val="00AF7EF7"/>
    <w:rsid w:val="00B0001A"/>
    <w:rsid w:val="00B007E3"/>
    <w:rsid w:val="00B031A2"/>
    <w:rsid w:val="00B04A66"/>
    <w:rsid w:val="00B06856"/>
    <w:rsid w:val="00B06CDA"/>
    <w:rsid w:val="00B073D2"/>
    <w:rsid w:val="00B10B52"/>
    <w:rsid w:val="00B12783"/>
    <w:rsid w:val="00B12BBE"/>
    <w:rsid w:val="00B13126"/>
    <w:rsid w:val="00B1637D"/>
    <w:rsid w:val="00B16BFF"/>
    <w:rsid w:val="00B1787B"/>
    <w:rsid w:val="00B225AF"/>
    <w:rsid w:val="00B258F7"/>
    <w:rsid w:val="00B25EE1"/>
    <w:rsid w:val="00B26020"/>
    <w:rsid w:val="00B33B4C"/>
    <w:rsid w:val="00B350CD"/>
    <w:rsid w:val="00B40A59"/>
    <w:rsid w:val="00B42F38"/>
    <w:rsid w:val="00B433F5"/>
    <w:rsid w:val="00B436CA"/>
    <w:rsid w:val="00B472F3"/>
    <w:rsid w:val="00B475F6"/>
    <w:rsid w:val="00B531BD"/>
    <w:rsid w:val="00B53AE7"/>
    <w:rsid w:val="00B54BAA"/>
    <w:rsid w:val="00B60F11"/>
    <w:rsid w:val="00B616A3"/>
    <w:rsid w:val="00B62A50"/>
    <w:rsid w:val="00B637D8"/>
    <w:rsid w:val="00B63F49"/>
    <w:rsid w:val="00B6421F"/>
    <w:rsid w:val="00B643D8"/>
    <w:rsid w:val="00B659EA"/>
    <w:rsid w:val="00B668BA"/>
    <w:rsid w:val="00B67B13"/>
    <w:rsid w:val="00B67C31"/>
    <w:rsid w:val="00B70739"/>
    <w:rsid w:val="00B732E3"/>
    <w:rsid w:val="00B73D59"/>
    <w:rsid w:val="00B75566"/>
    <w:rsid w:val="00B75BA4"/>
    <w:rsid w:val="00B804F4"/>
    <w:rsid w:val="00B81574"/>
    <w:rsid w:val="00B8172F"/>
    <w:rsid w:val="00B83D56"/>
    <w:rsid w:val="00B84C2B"/>
    <w:rsid w:val="00B8534F"/>
    <w:rsid w:val="00B85F16"/>
    <w:rsid w:val="00B90A9A"/>
    <w:rsid w:val="00B914DC"/>
    <w:rsid w:val="00B91F27"/>
    <w:rsid w:val="00B92414"/>
    <w:rsid w:val="00B92511"/>
    <w:rsid w:val="00B94680"/>
    <w:rsid w:val="00BA2BBE"/>
    <w:rsid w:val="00BA2BD1"/>
    <w:rsid w:val="00BA4F37"/>
    <w:rsid w:val="00BB13BE"/>
    <w:rsid w:val="00BB1950"/>
    <w:rsid w:val="00BB1C3F"/>
    <w:rsid w:val="00BB2292"/>
    <w:rsid w:val="00BB441C"/>
    <w:rsid w:val="00BB4FC6"/>
    <w:rsid w:val="00BB7CA0"/>
    <w:rsid w:val="00BC04D4"/>
    <w:rsid w:val="00BC17F0"/>
    <w:rsid w:val="00BC1E04"/>
    <w:rsid w:val="00BC23BB"/>
    <w:rsid w:val="00BC4A7F"/>
    <w:rsid w:val="00BC5B5C"/>
    <w:rsid w:val="00BC5D91"/>
    <w:rsid w:val="00BD0AAA"/>
    <w:rsid w:val="00BD0FC3"/>
    <w:rsid w:val="00BD1174"/>
    <w:rsid w:val="00BD195D"/>
    <w:rsid w:val="00BD3349"/>
    <w:rsid w:val="00BD3892"/>
    <w:rsid w:val="00BD3D3F"/>
    <w:rsid w:val="00BD47B8"/>
    <w:rsid w:val="00BE0F46"/>
    <w:rsid w:val="00BE14FE"/>
    <w:rsid w:val="00BE2AA7"/>
    <w:rsid w:val="00BE2EA2"/>
    <w:rsid w:val="00BE3F2F"/>
    <w:rsid w:val="00BE43D6"/>
    <w:rsid w:val="00BE7469"/>
    <w:rsid w:val="00BE7BF9"/>
    <w:rsid w:val="00BF214E"/>
    <w:rsid w:val="00BF2E44"/>
    <w:rsid w:val="00BF378D"/>
    <w:rsid w:val="00BF555F"/>
    <w:rsid w:val="00BF6321"/>
    <w:rsid w:val="00BF646C"/>
    <w:rsid w:val="00BF67D8"/>
    <w:rsid w:val="00BF6BFC"/>
    <w:rsid w:val="00BF6C92"/>
    <w:rsid w:val="00BF6FB6"/>
    <w:rsid w:val="00BF7A4E"/>
    <w:rsid w:val="00C003CF"/>
    <w:rsid w:val="00C02080"/>
    <w:rsid w:val="00C020DE"/>
    <w:rsid w:val="00C02418"/>
    <w:rsid w:val="00C03555"/>
    <w:rsid w:val="00C03FD3"/>
    <w:rsid w:val="00C101BE"/>
    <w:rsid w:val="00C10B51"/>
    <w:rsid w:val="00C10BDB"/>
    <w:rsid w:val="00C11C73"/>
    <w:rsid w:val="00C12DB4"/>
    <w:rsid w:val="00C13D6E"/>
    <w:rsid w:val="00C1598D"/>
    <w:rsid w:val="00C15B3B"/>
    <w:rsid w:val="00C17D24"/>
    <w:rsid w:val="00C20065"/>
    <w:rsid w:val="00C2187E"/>
    <w:rsid w:val="00C2224A"/>
    <w:rsid w:val="00C24AB3"/>
    <w:rsid w:val="00C24ADC"/>
    <w:rsid w:val="00C24DFA"/>
    <w:rsid w:val="00C26418"/>
    <w:rsid w:val="00C266B7"/>
    <w:rsid w:val="00C268BA"/>
    <w:rsid w:val="00C27250"/>
    <w:rsid w:val="00C30D31"/>
    <w:rsid w:val="00C318E6"/>
    <w:rsid w:val="00C325C1"/>
    <w:rsid w:val="00C41388"/>
    <w:rsid w:val="00C414C2"/>
    <w:rsid w:val="00C44C0B"/>
    <w:rsid w:val="00C454CE"/>
    <w:rsid w:val="00C4642A"/>
    <w:rsid w:val="00C5009F"/>
    <w:rsid w:val="00C511F9"/>
    <w:rsid w:val="00C5213D"/>
    <w:rsid w:val="00C52848"/>
    <w:rsid w:val="00C52953"/>
    <w:rsid w:val="00C53172"/>
    <w:rsid w:val="00C54F83"/>
    <w:rsid w:val="00C55AFC"/>
    <w:rsid w:val="00C55C11"/>
    <w:rsid w:val="00C55EAE"/>
    <w:rsid w:val="00C56BCA"/>
    <w:rsid w:val="00C60E7B"/>
    <w:rsid w:val="00C61321"/>
    <w:rsid w:val="00C6195B"/>
    <w:rsid w:val="00C61B29"/>
    <w:rsid w:val="00C63251"/>
    <w:rsid w:val="00C672BE"/>
    <w:rsid w:val="00C67651"/>
    <w:rsid w:val="00C71E4C"/>
    <w:rsid w:val="00C7414C"/>
    <w:rsid w:val="00C7482D"/>
    <w:rsid w:val="00C74E5D"/>
    <w:rsid w:val="00C750D1"/>
    <w:rsid w:val="00C76814"/>
    <w:rsid w:val="00C7714A"/>
    <w:rsid w:val="00C80B00"/>
    <w:rsid w:val="00C83767"/>
    <w:rsid w:val="00C842A8"/>
    <w:rsid w:val="00C8446A"/>
    <w:rsid w:val="00C85567"/>
    <w:rsid w:val="00C85E15"/>
    <w:rsid w:val="00C86046"/>
    <w:rsid w:val="00C863FD"/>
    <w:rsid w:val="00C86664"/>
    <w:rsid w:val="00C8793F"/>
    <w:rsid w:val="00C90EE7"/>
    <w:rsid w:val="00C92895"/>
    <w:rsid w:val="00C93AEC"/>
    <w:rsid w:val="00C9542D"/>
    <w:rsid w:val="00C95464"/>
    <w:rsid w:val="00C96EA9"/>
    <w:rsid w:val="00C97824"/>
    <w:rsid w:val="00CA0663"/>
    <w:rsid w:val="00CA0774"/>
    <w:rsid w:val="00CA10B6"/>
    <w:rsid w:val="00CA1B6C"/>
    <w:rsid w:val="00CA2C3B"/>
    <w:rsid w:val="00CA3DDE"/>
    <w:rsid w:val="00CA438F"/>
    <w:rsid w:val="00CA4FD6"/>
    <w:rsid w:val="00CA6D90"/>
    <w:rsid w:val="00CA70C0"/>
    <w:rsid w:val="00CA7221"/>
    <w:rsid w:val="00CA75D0"/>
    <w:rsid w:val="00CB4881"/>
    <w:rsid w:val="00CC1BF9"/>
    <w:rsid w:val="00CC3970"/>
    <w:rsid w:val="00CC6691"/>
    <w:rsid w:val="00CC6E43"/>
    <w:rsid w:val="00CC700C"/>
    <w:rsid w:val="00CD3952"/>
    <w:rsid w:val="00CD406E"/>
    <w:rsid w:val="00CD53A0"/>
    <w:rsid w:val="00CD6DBF"/>
    <w:rsid w:val="00CD7095"/>
    <w:rsid w:val="00CD73BB"/>
    <w:rsid w:val="00CD779A"/>
    <w:rsid w:val="00CD7818"/>
    <w:rsid w:val="00CE1AD4"/>
    <w:rsid w:val="00CE2421"/>
    <w:rsid w:val="00CE35F0"/>
    <w:rsid w:val="00CE4BC7"/>
    <w:rsid w:val="00CE4E33"/>
    <w:rsid w:val="00CE616E"/>
    <w:rsid w:val="00CE70FB"/>
    <w:rsid w:val="00CF1D01"/>
    <w:rsid w:val="00CF550F"/>
    <w:rsid w:val="00CF73F4"/>
    <w:rsid w:val="00D016DF"/>
    <w:rsid w:val="00D03631"/>
    <w:rsid w:val="00D078B4"/>
    <w:rsid w:val="00D10431"/>
    <w:rsid w:val="00D12BBC"/>
    <w:rsid w:val="00D15D02"/>
    <w:rsid w:val="00D2033E"/>
    <w:rsid w:val="00D219F6"/>
    <w:rsid w:val="00D22577"/>
    <w:rsid w:val="00D23B7E"/>
    <w:rsid w:val="00D24759"/>
    <w:rsid w:val="00D24955"/>
    <w:rsid w:val="00D25E7B"/>
    <w:rsid w:val="00D26351"/>
    <w:rsid w:val="00D31108"/>
    <w:rsid w:val="00D330A6"/>
    <w:rsid w:val="00D352D1"/>
    <w:rsid w:val="00D365AB"/>
    <w:rsid w:val="00D36E97"/>
    <w:rsid w:val="00D37E80"/>
    <w:rsid w:val="00D43420"/>
    <w:rsid w:val="00D43544"/>
    <w:rsid w:val="00D43757"/>
    <w:rsid w:val="00D43B11"/>
    <w:rsid w:val="00D441BB"/>
    <w:rsid w:val="00D465A5"/>
    <w:rsid w:val="00D47D04"/>
    <w:rsid w:val="00D518CD"/>
    <w:rsid w:val="00D52B5B"/>
    <w:rsid w:val="00D5497F"/>
    <w:rsid w:val="00D561B7"/>
    <w:rsid w:val="00D566A4"/>
    <w:rsid w:val="00D5746E"/>
    <w:rsid w:val="00D606FF"/>
    <w:rsid w:val="00D60F6D"/>
    <w:rsid w:val="00D617A5"/>
    <w:rsid w:val="00D61D9F"/>
    <w:rsid w:val="00D63B66"/>
    <w:rsid w:val="00D647DE"/>
    <w:rsid w:val="00D66DCD"/>
    <w:rsid w:val="00D70B26"/>
    <w:rsid w:val="00D74B53"/>
    <w:rsid w:val="00D75048"/>
    <w:rsid w:val="00D75EB6"/>
    <w:rsid w:val="00D7796F"/>
    <w:rsid w:val="00D77E89"/>
    <w:rsid w:val="00D80732"/>
    <w:rsid w:val="00D80C6B"/>
    <w:rsid w:val="00D82306"/>
    <w:rsid w:val="00D82DA0"/>
    <w:rsid w:val="00D8511F"/>
    <w:rsid w:val="00D87A50"/>
    <w:rsid w:val="00D87CAE"/>
    <w:rsid w:val="00D90A82"/>
    <w:rsid w:val="00D92550"/>
    <w:rsid w:val="00D938C5"/>
    <w:rsid w:val="00D93D1B"/>
    <w:rsid w:val="00DA24ED"/>
    <w:rsid w:val="00DA2E6C"/>
    <w:rsid w:val="00DA5FCA"/>
    <w:rsid w:val="00DA6F69"/>
    <w:rsid w:val="00DA742D"/>
    <w:rsid w:val="00DB1454"/>
    <w:rsid w:val="00DB1D02"/>
    <w:rsid w:val="00DB3027"/>
    <w:rsid w:val="00DB3122"/>
    <w:rsid w:val="00DB5485"/>
    <w:rsid w:val="00DB6401"/>
    <w:rsid w:val="00DB66C8"/>
    <w:rsid w:val="00DB6D74"/>
    <w:rsid w:val="00DB79F3"/>
    <w:rsid w:val="00DB7B2C"/>
    <w:rsid w:val="00DC1373"/>
    <w:rsid w:val="00DC2B96"/>
    <w:rsid w:val="00DC34A1"/>
    <w:rsid w:val="00DC425C"/>
    <w:rsid w:val="00DC4372"/>
    <w:rsid w:val="00DC6637"/>
    <w:rsid w:val="00DC7020"/>
    <w:rsid w:val="00DD30C3"/>
    <w:rsid w:val="00DD62F1"/>
    <w:rsid w:val="00DD798D"/>
    <w:rsid w:val="00DD7AB1"/>
    <w:rsid w:val="00DE0CB1"/>
    <w:rsid w:val="00DE3570"/>
    <w:rsid w:val="00DE395D"/>
    <w:rsid w:val="00DE5C6F"/>
    <w:rsid w:val="00DE6812"/>
    <w:rsid w:val="00DE73F3"/>
    <w:rsid w:val="00DE7A58"/>
    <w:rsid w:val="00DE7C83"/>
    <w:rsid w:val="00DE7E93"/>
    <w:rsid w:val="00DF06B3"/>
    <w:rsid w:val="00DF0C88"/>
    <w:rsid w:val="00DF10CC"/>
    <w:rsid w:val="00DF17FB"/>
    <w:rsid w:val="00DF19E2"/>
    <w:rsid w:val="00DF291B"/>
    <w:rsid w:val="00DF4376"/>
    <w:rsid w:val="00DF4561"/>
    <w:rsid w:val="00DF4563"/>
    <w:rsid w:val="00DF4695"/>
    <w:rsid w:val="00DF4793"/>
    <w:rsid w:val="00DF5EF1"/>
    <w:rsid w:val="00DF6D47"/>
    <w:rsid w:val="00DF7543"/>
    <w:rsid w:val="00E00C25"/>
    <w:rsid w:val="00E01245"/>
    <w:rsid w:val="00E014CA"/>
    <w:rsid w:val="00E01F4F"/>
    <w:rsid w:val="00E03149"/>
    <w:rsid w:val="00E034EE"/>
    <w:rsid w:val="00E0615B"/>
    <w:rsid w:val="00E06822"/>
    <w:rsid w:val="00E10028"/>
    <w:rsid w:val="00E11E23"/>
    <w:rsid w:val="00E14BBF"/>
    <w:rsid w:val="00E16F5D"/>
    <w:rsid w:val="00E17AB5"/>
    <w:rsid w:val="00E2041B"/>
    <w:rsid w:val="00E207D4"/>
    <w:rsid w:val="00E20AB5"/>
    <w:rsid w:val="00E232F5"/>
    <w:rsid w:val="00E258F1"/>
    <w:rsid w:val="00E27224"/>
    <w:rsid w:val="00E2791C"/>
    <w:rsid w:val="00E30B05"/>
    <w:rsid w:val="00E31013"/>
    <w:rsid w:val="00E316E0"/>
    <w:rsid w:val="00E35325"/>
    <w:rsid w:val="00E35AEC"/>
    <w:rsid w:val="00E365EE"/>
    <w:rsid w:val="00E3665B"/>
    <w:rsid w:val="00E409EB"/>
    <w:rsid w:val="00E422EA"/>
    <w:rsid w:val="00E43C9C"/>
    <w:rsid w:val="00E43DB1"/>
    <w:rsid w:val="00E444F5"/>
    <w:rsid w:val="00E4515F"/>
    <w:rsid w:val="00E4742D"/>
    <w:rsid w:val="00E50E70"/>
    <w:rsid w:val="00E5161A"/>
    <w:rsid w:val="00E51BD2"/>
    <w:rsid w:val="00E53312"/>
    <w:rsid w:val="00E54E5B"/>
    <w:rsid w:val="00E56825"/>
    <w:rsid w:val="00E601C0"/>
    <w:rsid w:val="00E618B7"/>
    <w:rsid w:val="00E61B95"/>
    <w:rsid w:val="00E63FE1"/>
    <w:rsid w:val="00E648A2"/>
    <w:rsid w:val="00E67635"/>
    <w:rsid w:val="00E71435"/>
    <w:rsid w:val="00E72B3B"/>
    <w:rsid w:val="00E7456D"/>
    <w:rsid w:val="00E74EC5"/>
    <w:rsid w:val="00E838D9"/>
    <w:rsid w:val="00E873F8"/>
    <w:rsid w:val="00E87909"/>
    <w:rsid w:val="00E90B0B"/>
    <w:rsid w:val="00E93753"/>
    <w:rsid w:val="00E9439B"/>
    <w:rsid w:val="00E9628A"/>
    <w:rsid w:val="00E96A9B"/>
    <w:rsid w:val="00EA04FA"/>
    <w:rsid w:val="00EA3F90"/>
    <w:rsid w:val="00EA5546"/>
    <w:rsid w:val="00EA5702"/>
    <w:rsid w:val="00EA60DB"/>
    <w:rsid w:val="00EA6412"/>
    <w:rsid w:val="00EA6AE3"/>
    <w:rsid w:val="00EA78E1"/>
    <w:rsid w:val="00EA7E37"/>
    <w:rsid w:val="00EB0361"/>
    <w:rsid w:val="00EB03B7"/>
    <w:rsid w:val="00EB0594"/>
    <w:rsid w:val="00EB1894"/>
    <w:rsid w:val="00EB1C86"/>
    <w:rsid w:val="00EB1D97"/>
    <w:rsid w:val="00EB31D3"/>
    <w:rsid w:val="00EB5556"/>
    <w:rsid w:val="00EC1633"/>
    <w:rsid w:val="00EC1EC5"/>
    <w:rsid w:val="00EC26E1"/>
    <w:rsid w:val="00EC3CC6"/>
    <w:rsid w:val="00EC4BEB"/>
    <w:rsid w:val="00EC57F8"/>
    <w:rsid w:val="00ED1D08"/>
    <w:rsid w:val="00ED31C4"/>
    <w:rsid w:val="00ED6702"/>
    <w:rsid w:val="00ED6D54"/>
    <w:rsid w:val="00EE0498"/>
    <w:rsid w:val="00EE16E4"/>
    <w:rsid w:val="00EE2F4E"/>
    <w:rsid w:val="00EE49E8"/>
    <w:rsid w:val="00EE4BBE"/>
    <w:rsid w:val="00EE59DB"/>
    <w:rsid w:val="00EE5AE6"/>
    <w:rsid w:val="00EE5C8D"/>
    <w:rsid w:val="00EE73DC"/>
    <w:rsid w:val="00EE78B6"/>
    <w:rsid w:val="00EF1A11"/>
    <w:rsid w:val="00EF2613"/>
    <w:rsid w:val="00EF2845"/>
    <w:rsid w:val="00EF2D24"/>
    <w:rsid w:val="00EF32F0"/>
    <w:rsid w:val="00EF4280"/>
    <w:rsid w:val="00EF4D4F"/>
    <w:rsid w:val="00EF5200"/>
    <w:rsid w:val="00EF54F0"/>
    <w:rsid w:val="00EF64C2"/>
    <w:rsid w:val="00EF76CD"/>
    <w:rsid w:val="00F000B1"/>
    <w:rsid w:val="00F002D1"/>
    <w:rsid w:val="00F045E2"/>
    <w:rsid w:val="00F04C7F"/>
    <w:rsid w:val="00F05418"/>
    <w:rsid w:val="00F05587"/>
    <w:rsid w:val="00F0685E"/>
    <w:rsid w:val="00F074A9"/>
    <w:rsid w:val="00F076A5"/>
    <w:rsid w:val="00F1076A"/>
    <w:rsid w:val="00F125E7"/>
    <w:rsid w:val="00F131F9"/>
    <w:rsid w:val="00F135BE"/>
    <w:rsid w:val="00F13EB4"/>
    <w:rsid w:val="00F146AF"/>
    <w:rsid w:val="00F16E90"/>
    <w:rsid w:val="00F2350D"/>
    <w:rsid w:val="00F2564C"/>
    <w:rsid w:val="00F2699D"/>
    <w:rsid w:val="00F26D30"/>
    <w:rsid w:val="00F27BD0"/>
    <w:rsid w:val="00F3023F"/>
    <w:rsid w:val="00F312A4"/>
    <w:rsid w:val="00F3132B"/>
    <w:rsid w:val="00F31682"/>
    <w:rsid w:val="00F324B3"/>
    <w:rsid w:val="00F32EB0"/>
    <w:rsid w:val="00F33081"/>
    <w:rsid w:val="00F33771"/>
    <w:rsid w:val="00F3627F"/>
    <w:rsid w:val="00F37C51"/>
    <w:rsid w:val="00F400F3"/>
    <w:rsid w:val="00F41470"/>
    <w:rsid w:val="00F44671"/>
    <w:rsid w:val="00F4565C"/>
    <w:rsid w:val="00F50B7A"/>
    <w:rsid w:val="00F5130B"/>
    <w:rsid w:val="00F51C0E"/>
    <w:rsid w:val="00F527D0"/>
    <w:rsid w:val="00F52A0D"/>
    <w:rsid w:val="00F5487A"/>
    <w:rsid w:val="00F57FF0"/>
    <w:rsid w:val="00F616A7"/>
    <w:rsid w:val="00F61D18"/>
    <w:rsid w:val="00F624DB"/>
    <w:rsid w:val="00F63F9C"/>
    <w:rsid w:val="00F64722"/>
    <w:rsid w:val="00F64748"/>
    <w:rsid w:val="00F64F0C"/>
    <w:rsid w:val="00F6567A"/>
    <w:rsid w:val="00F66068"/>
    <w:rsid w:val="00F705C6"/>
    <w:rsid w:val="00F71459"/>
    <w:rsid w:val="00F726DC"/>
    <w:rsid w:val="00F7395C"/>
    <w:rsid w:val="00F74E2A"/>
    <w:rsid w:val="00F75B6D"/>
    <w:rsid w:val="00F77072"/>
    <w:rsid w:val="00F828AE"/>
    <w:rsid w:val="00F82DBA"/>
    <w:rsid w:val="00F84033"/>
    <w:rsid w:val="00F8526C"/>
    <w:rsid w:val="00F85D66"/>
    <w:rsid w:val="00F877D9"/>
    <w:rsid w:val="00F90DEA"/>
    <w:rsid w:val="00F92DE9"/>
    <w:rsid w:val="00F9317F"/>
    <w:rsid w:val="00F93E54"/>
    <w:rsid w:val="00F95E87"/>
    <w:rsid w:val="00F960F8"/>
    <w:rsid w:val="00F96519"/>
    <w:rsid w:val="00F96528"/>
    <w:rsid w:val="00F96923"/>
    <w:rsid w:val="00F978EC"/>
    <w:rsid w:val="00FA0B6D"/>
    <w:rsid w:val="00FA208F"/>
    <w:rsid w:val="00FA2636"/>
    <w:rsid w:val="00FA315D"/>
    <w:rsid w:val="00FA52CB"/>
    <w:rsid w:val="00FA67A8"/>
    <w:rsid w:val="00FB113F"/>
    <w:rsid w:val="00FB18B8"/>
    <w:rsid w:val="00FB1FDD"/>
    <w:rsid w:val="00FB37A2"/>
    <w:rsid w:val="00FB3FA5"/>
    <w:rsid w:val="00FB59EB"/>
    <w:rsid w:val="00FC080D"/>
    <w:rsid w:val="00FC10A5"/>
    <w:rsid w:val="00FC14BC"/>
    <w:rsid w:val="00FC3239"/>
    <w:rsid w:val="00FC3E9B"/>
    <w:rsid w:val="00FC4C4A"/>
    <w:rsid w:val="00FC76E6"/>
    <w:rsid w:val="00FC7DCA"/>
    <w:rsid w:val="00FD1072"/>
    <w:rsid w:val="00FD10B8"/>
    <w:rsid w:val="00FD6EC7"/>
    <w:rsid w:val="00FE0CBE"/>
    <w:rsid w:val="00FE418B"/>
    <w:rsid w:val="00FE5228"/>
    <w:rsid w:val="00FF039C"/>
    <w:rsid w:val="00FF0CA5"/>
    <w:rsid w:val="00FF1B24"/>
    <w:rsid w:val="00FF4A4D"/>
    <w:rsid w:val="69FD730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2">
    <w:name w:val="Default Paragraph Font"/>
    <w:semiHidden/>
    <w:uiPriority w:val="0"/>
  </w:style>
  <w:style w:type="table" w:default="1" w:styleId="17">
    <w:name w:val="Normal Table"/>
    <w:semiHidden/>
    <w:uiPriority w:val="0"/>
    <w:tblPr>
      <w:tblStyle w:val="17"/>
      <w:tblLayout w:type="fixed"/>
      <w:tblCellMar>
        <w:top w:w="0" w:type="dxa"/>
        <w:left w:w="108" w:type="dxa"/>
        <w:bottom w:w="0" w:type="dxa"/>
        <w:right w:w="108" w:type="dxa"/>
      </w:tblCellMar>
    </w:tblPr>
  </w:style>
  <w:style w:type="paragraph" w:styleId="2">
    <w:name w:val="Body Text"/>
    <w:basedOn w:val="1"/>
    <w:uiPriority w:val="0"/>
    <w:pPr>
      <w:spacing w:line="600" w:lineRule="exact"/>
    </w:pPr>
    <w:rPr>
      <w:rFonts w:ascii="宋体" w:hAnsi="宋体"/>
      <w:sz w:val="30"/>
    </w:rPr>
  </w:style>
  <w:style w:type="paragraph" w:styleId="3">
    <w:name w:val="Body Text Indent"/>
    <w:basedOn w:val="1"/>
    <w:uiPriority w:val="0"/>
    <w:pPr>
      <w:ind w:firstLine="600" w:firstLineChars="200"/>
    </w:pPr>
    <w:rPr>
      <w:sz w:val="30"/>
    </w:rPr>
  </w:style>
  <w:style w:type="paragraph" w:styleId="4">
    <w:name w:val="Date"/>
    <w:basedOn w:val="1"/>
    <w:next w:val="1"/>
    <w:uiPriority w:val="0"/>
    <w:pPr>
      <w:ind w:left="100" w:leftChars="2500"/>
    </w:pPr>
  </w:style>
  <w:style w:type="paragraph" w:styleId="5">
    <w:name w:val="Body Text Indent 2"/>
    <w:basedOn w:val="1"/>
    <w:uiPriority w:val="0"/>
    <w:pPr>
      <w:autoSpaceDE w:val="0"/>
      <w:autoSpaceDN w:val="0"/>
      <w:adjustRightInd w:val="0"/>
      <w:spacing w:line="500" w:lineRule="exact"/>
      <w:ind w:firstLine="602" w:firstLineChars="200"/>
    </w:pPr>
    <w:rPr>
      <w:rFonts w:ascii="仿宋_GB2312" w:eastAsia="仿宋_GB2312"/>
      <w:b/>
      <w:bCs/>
      <w:sz w:val="30"/>
      <w:szCs w:val="28"/>
      <w:lang w:val="zh-CN"/>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uiPriority w:val="0"/>
    <w:pPr>
      <w:spacing w:line="500" w:lineRule="exact"/>
      <w:ind w:firstLine="590" w:firstLineChars="196"/>
    </w:pPr>
    <w:rPr>
      <w:rFonts w:ascii="仿宋_GB2312" w:eastAsia="仿宋_GB2312"/>
      <w:b/>
      <w:bCs/>
      <w:sz w:val="30"/>
      <w:szCs w:val="28"/>
    </w:rPr>
  </w:style>
  <w:style w:type="paragraph" w:styleId="10">
    <w:name w:val="Body Text 2"/>
    <w:basedOn w:val="1"/>
    <w:uiPriority w:val="0"/>
    <w:pPr>
      <w:spacing w:after="120" w:line="480" w:lineRule="auto"/>
    </w:pPr>
  </w:style>
  <w:style w:type="paragraph" w:styleId="11">
    <w:name w:val="Normal (Web)"/>
    <w:basedOn w:val="1"/>
    <w:uiPriority w:val="0"/>
    <w:pPr>
      <w:widowControl/>
      <w:spacing w:before="100" w:beforeAutospacing="1" w:after="100" w:afterAutospacing="1"/>
      <w:jc w:val="left"/>
    </w:pPr>
    <w:rPr>
      <w:rFonts w:ascii="宋体" w:hAnsi="宋体" w:cs="宋体"/>
      <w:kern w:val="0"/>
      <w:sz w:val="24"/>
    </w:rPr>
  </w:style>
  <w:style w:type="character" w:styleId="13">
    <w:name w:val="Strong"/>
    <w:qFormat/>
    <w:uiPriority w:val="0"/>
    <w:rPr>
      <w:b/>
      <w:bCs/>
    </w:rPr>
  </w:style>
  <w:style w:type="character" w:styleId="14">
    <w:name w:val="page number"/>
    <w:basedOn w:val="12"/>
    <w:uiPriority w:val="0"/>
  </w:style>
  <w:style w:type="character" w:styleId="15">
    <w:name w:val="Emphasis"/>
    <w:qFormat/>
    <w:uiPriority w:val="0"/>
    <w:rPr>
      <w:color w:val="CC0000"/>
    </w:rPr>
  </w:style>
  <w:style w:type="character" w:styleId="16">
    <w:name w:val="Hyperlink"/>
    <w:uiPriority w:val="0"/>
    <w:rPr>
      <w:color w:val="000000"/>
      <w:u w:val="none"/>
    </w:rPr>
  </w:style>
  <w:style w:type="table" w:styleId="18">
    <w:name w:val="Table Grid"/>
    <w:basedOn w:val="17"/>
    <w:uiPriority w:val="0"/>
    <w:pPr>
      <w:widowControl w:val="0"/>
      <w:jc w:val="both"/>
    </w:pPr>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 Char Char Char Char Char"/>
    <w:basedOn w:val="1"/>
    <w:uiPriority w:val="0"/>
    <w:rPr>
      <w:rFonts w:ascii="Tahoma" w:hAnsi="Tahoma"/>
      <w:sz w:val="24"/>
      <w:szCs w:val="20"/>
    </w:rPr>
  </w:style>
  <w:style w:type="paragraph" w:customStyle="1" w:styleId="20">
    <w:name w:val="Char Char Char Char Char"/>
    <w:basedOn w:val="1"/>
    <w:uiPriority w:val="0"/>
    <w:rPr>
      <w:rFonts w:ascii="Tahoma" w:hAnsi="Tahoma"/>
      <w:sz w:val="24"/>
      <w:szCs w:val="20"/>
    </w:rPr>
  </w:style>
  <w:style w:type="paragraph" w:customStyle="1" w:styleId="21">
    <w:name w:val="Char Char"/>
    <w:basedOn w:val="1"/>
    <w:uiPriority w:val="0"/>
    <w:rPr>
      <w:rFonts w:ascii="Tahoma" w:hAnsi="Tahoma"/>
      <w:sz w:val="24"/>
      <w:szCs w:val="20"/>
    </w:rPr>
  </w:style>
  <w:style w:type="paragraph" w:customStyle="1" w:styleId="22">
    <w:name w:val=" Char Char Char"/>
    <w:basedOn w:val="1"/>
    <w:uiPriority w:val="0"/>
    <w:rPr>
      <w:rFonts w:ascii="Tahoma" w:hAnsi="Tahoma"/>
      <w:sz w:val="24"/>
      <w:szCs w:val="20"/>
    </w:rPr>
  </w:style>
  <w:style w:type="paragraph" w:customStyle="1" w:styleId="23">
    <w:name w:val="Char Char Char"/>
    <w:basedOn w:val="1"/>
    <w:uiPriority w:val="0"/>
    <w:rPr>
      <w:rFonts w:ascii="Tahoma" w:hAnsi="Tahoma"/>
      <w:sz w:val="24"/>
      <w:szCs w:val="20"/>
    </w:rPr>
  </w:style>
  <w:style w:type="paragraph" w:customStyle="1" w:styleId="24">
    <w:name w:val=" Char"/>
    <w:basedOn w:val="1"/>
    <w:uiPriority w:val="0"/>
  </w:style>
  <w:style w:type="paragraph" w:customStyle="1" w:styleId="25">
    <w:name w:val="p0"/>
    <w:basedOn w:val="1"/>
    <w:uiPriority w:val="0"/>
    <w:pPr>
      <w:widowControl/>
      <w:spacing w:before="100" w:beforeAutospacing="1" w:after="100" w:afterAutospacing="1"/>
      <w:jc w:val="left"/>
    </w:pPr>
    <w:rPr>
      <w:rFonts w:ascii="宋体" w:hAnsi="宋体" w:cs="宋体"/>
      <w:kern w:val="0"/>
      <w:sz w:val="24"/>
    </w:rPr>
  </w:style>
  <w:style w:type="paragraph" w:customStyle="1" w:styleId="26">
    <w:name w:val="0"/>
    <w:basedOn w:val="1"/>
    <w:uiPriority w:val="0"/>
    <w:pPr>
      <w:widowControl/>
      <w:spacing w:line="365" w:lineRule="atLeast"/>
      <w:ind w:left="1"/>
    </w:pPr>
    <w:rPr>
      <w:kern w:val="0"/>
      <w:sz w:val="20"/>
      <w:szCs w:val="20"/>
    </w:rPr>
  </w:style>
  <w:style w:type="paragraph" w:customStyle="1" w:styleId="27">
    <w:name w:val="Char"/>
    <w:basedOn w:val="1"/>
    <w:uiPriority w:val="0"/>
    <w:rPr>
      <w:rFonts w:ascii="Tahoma" w:hAnsi="Tahoma"/>
      <w:sz w:val="24"/>
      <w:szCs w:val="20"/>
    </w:rPr>
  </w:style>
  <w:style w:type="paragraph" w:customStyle="1" w:styleId="28">
    <w:name w:val="reader-word-layer reader-word-s2-5"/>
    <w:basedOn w:val="1"/>
    <w:uiPriority w:val="0"/>
    <w:pPr>
      <w:widowControl/>
      <w:spacing w:before="100" w:beforeAutospacing="1" w:after="100" w:afterAutospacing="1"/>
      <w:jc w:val="left"/>
    </w:pPr>
    <w:rPr>
      <w:rFonts w:ascii="宋体" w:hAnsi="宋体" w:cs="宋体"/>
      <w:kern w:val="0"/>
      <w:sz w:val="24"/>
    </w:rPr>
  </w:style>
  <w:style w:type="paragraph" w:customStyle="1" w:styleId="29">
    <w:name w:val="reader-word-layer reader-word-s2-10"/>
    <w:basedOn w:val="1"/>
    <w:uiPriority w:val="0"/>
    <w:pPr>
      <w:widowControl/>
      <w:spacing w:before="100" w:beforeAutospacing="1" w:after="100" w:afterAutospacing="1"/>
      <w:jc w:val="left"/>
    </w:pPr>
    <w:rPr>
      <w:rFonts w:ascii="宋体" w:hAnsi="宋体" w:cs="宋体"/>
      <w:kern w:val="0"/>
      <w:sz w:val="24"/>
    </w:rPr>
  </w:style>
  <w:style w:type="paragraph" w:customStyle="1" w:styleId="30">
    <w:name w:val="reader-word-layer reader-word-s2-25"/>
    <w:basedOn w:val="1"/>
    <w:uiPriority w:val="0"/>
    <w:pPr>
      <w:widowControl/>
      <w:spacing w:before="100" w:beforeAutospacing="1" w:after="100" w:afterAutospacing="1"/>
      <w:jc w:val="left"/>
    </w:pPr>
    <w:rPr>
      <w:rFonts w:ascii="宋体" w:hAnsi="宋体" w:cs="宋体"/>
      <w:kern w:val="0"/>
      <w:sz w:val="24"/>
    </w:rPr>
  </w:style>
  <w:style w:type="paragraph" w:customStyle="1" w:styleId="31">
    <w:name w:val="reader-word-layer reader-word-s3-3"/>
    <w:basedOn w:val="1"/>
    <w:uiPriority w:val="0"/>
    <w:pPr>
      <w:widowControl/>
      <w:spacing w:before="100" w:beforeAutospacing="1" w:after="100" w:afterAutospacing="1"/>
      <w:jc w:val="left"/>
    </w:pPr>
    <w:rPr>
      <w:rFonts w:ascii="宋体" w:hAnsi="宋体" w:cs="宋体"/>
      <w:kern w:val="0"/>
      <w:sz w:val="24"/>
    </w:rPr>
  </w:style>
  <w:style w:type="paragraph" w:customStyle="1" w:styleId="32">
    <w:name w:val="reader-word-layer reader-word-s3-12"/>
    <w:basedOn w:val="1"/>
    <w:uiPriority w:val="0"/>
    <w:pPr>
      <w:widowControl/>
      <w:spacing w:before="100" w:beforeAutospacing="1" w:after="100" w:afterAutospacing="1"/>
      <w:jc w:val="left"/>
    </w:pPr>
    <w:rPr>
      <w:rFonts w:ascii="宋体" w:hAnsi="宋体" w:cs="宋体"/>
      <w:kern w:val="0"/>
      <w:sz w:val="24"/>
    </w:rPr>
  </w:style>
  <w:style w:type="paragraph" w:customStyle="1" w:styleId="33">
    <w:name w:val="reader-word-layer reader-word-s4-27"/>
    <w:basedOn w:val="1"/>
    <w:uiPriority w:val="0"/>
    <w:pPr>
      <w:widowControl/>
      <w:spacing w:before="100" w:beforeAutospacing="1" w:after="100" w:afterAutospacing="1"/>
      <w:jc w:val="left"/>
    </w:pPr>
    <w:rPr>
      <w:rFonts w:ascii="宋体" w:hAnsi="宋体" w:cs="宋体"/>
      <w:kern w:val="0"/>
      <w:sz w:val="24"/>
    </w:rPr>
  </w:style>
  <w:style w:type="character" w:customStyle="1" w:styleId="34">
    <w:name w:val="bt1"/>
    <w:uiPriority w:val="0"/>
    <w:rPr>
      <w:rFonts w:hint="default" w:ascii="Times New Roman,ˎ̥" w:hAnsi="Times New Roman,ˎ̥"/>
      <w:color w:val="333333"/>
      <w:sz w:val="21"/>
      <w:szCs w:val="21"/>
    </w:rPr>
  </w:style>
  <w:style w:type="character" w:customStyle="1" w:styleId="35">
    <w:name w:val="content1"/>
    <w:uiPriority w:val="0"/>
    <w:rPr>
      <w:sz w:val="21"/>
      <w:szCs w:val="21"/>
    </w:rPr>
  </w:style>
  <w:style w:type="character" w:customStyle="1" w:styleId="36">
    <w:name w:val="style21"/>
    <w:uiPriority w:val="0"/>
    <w:rPr>
      <w:rFonts w:hint="eastAsia" w:ascii="黑体" w:eastAsia="黑体"/>
      <w:b/>
      <w:bCs/>
      <w:sz w:val="29"/>
      <w:szCs w:val="29"/>
    </w:rPr>
  </w:style>
  <w:style w:type="character" w:customStyle="1" w:styleId="37">
    <w:name w:val="ca-14"/>
    <w:qFormat/>
    <w:uiPriority w:val="0"/>
    <w:rPr>
      <w:rFonts w:ascii="仿宋_GB2312" w:eastAsia="仿宋_GB231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小熔工作室</Company>
  <Pages>10</Pages>
  <Words>577</Words>
  <Characters>3295</Characters>
  <Lines>27</Lines>
  <Paragraphs>7</Paragraphs>
  <TotalTime>0</TotalTime>
  <ScaleCrop>false</ScaleCrop>
  <LinksUpToDate>false</LinksUpToDate>
  <CharactersWithSpaces>3865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2017-06-02T10:14:00Z</dcterms:created>
  <dc:creator>番茄花园</dc:creator>
  <cp:lastModifiedBy>做个坏人</cp:lastModifiedBy>
  <cp:lastPrinted>2017-06-02T10:14:00Z</cp:lastPrinted>
  <dcterms:modified xsi:type="dcterms:W3CDTF">2018-10-16T02:39:40Z</dcterms:modified>
  <dc:title>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