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62" w:rsidRDefault="00442D62" w:rsidP="00442D62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3</w:t>
      </w:r>
    </w:p>
    <w:p w:rsidR="00442D62" w:rsidRDefault="00442D62" w:rsidP="00442D62">
      <w:pPr>
        <w:tabs>
          <w:tab w:val="left" w:pos="0"/>
          <w:tab w:val="left" w:pos="7180"/>
        </w:tabs>
        <w:jc w:val="center"/>
        <w:rPr>
          <w:rFonts w:hAnsi="宋体"/>
          <w:b/>
          <w:bCs/>
          <w:color w:val="000000"/>
          <w:sz w:val="36"/>
          <w:szCs w:val="36"/>
        </w:rPr>
      </w:pPr>
      <w:r>
        <w:rPr>
          <w:rFonts w:hAnsi="宋体" w:hint="eastAsia"/>
          <w:b/>
          <w:bCs/>
          <w:color w:val="000000"/>
          <w:sz w:val="36"/>
          <w:szCs w:val="36"/>
        </w:rPr>
        <w:t>公开招聘报名表填写说明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表中所列项目，由本人或人事部门实事求是地填写。表内项目没有内容填写的，可填写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无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表中的日期、时间具体到月，一律用公历和阿拉伯数字表示，如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1992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应填写为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1992.05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民族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填写全称，如：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维吾尔族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哈尼族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籍贯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出生地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填写简称，如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湖南长沙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河北廊坊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政治面貌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中共党员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民主党派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或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群众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健康状况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根据本人的具体情况填写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健康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一般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或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较差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；有严重疾病、慢性疾病或身体伤残的，要如实说明。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学历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学位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填写国家有关部门承认的学历、学位。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学历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分毕业、结业、肄业三种，按国家教育行政部门的规定填写最高阶段的学历。研究生按博士研究生毕（结、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）业、硕士研究生毕（结、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）业、研究生班毕（结、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）业填写。党校通过全国教育统考招生录取的研究生，亦按此填写。凡在各类成人高等教育（电大、函大、夜大、职大、业大、管理干部学院等）或通过自学考试形式取得学历的，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应具体写明，如：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电大本（专）科毕业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自学高考大专毕业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等。在各级党校函授毕（结、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）业的，应填写</w:t>
      </w:r>
      <w:r>
        <w:rPr>
          <w:rFonts w:ascii="仿宋_GB2312" w:eastAsia="仿宋_GB2312" w:hint="eastAsia"/>
          <w:color w:val="000000"/>
          <w:sz w:val="32"/>
          <w:szCs w:val="32"/>
        </w:rPr>
        <w:t>“××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党校函授本（专）科毕（结、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）业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。各级党校培训、进修一年半以下的，不作为学历填写。不得填写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相当</w:t>
      </w:r>
      <w:r>
        <w:rPr>
          <w:rFonts w:ascii="仿宋_GB2312" w:eastAsia="仿宋_GB2312" w:hint="eastAsia"/>
          <w:color w:val="000000"/>
          <w:sz w:val="32"/>
          <w:szCs w:val="32"/>
        </w:rPr>
        <w:t>××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学历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学位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填写在国内外获得学位的具体名称，如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文学学士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理学硕士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等。多学位的应同时填写。仅有学位而无学历的，只填写学位。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任职时间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填写担任现职务的时间。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主要学习及工作经历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栏中应从参加工作前的最后一个全日制教育填起，时间前后要衔接，不出现空档，因脱产学习间断的，要写明情况。工作经历复杂者可将同公司同部门的职位填写在一条内，如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历任</w:t>
      </w:r>
      <w:r>
        <w:rPr>
          <w:rFonts w:ascii="仿宋_GB2312" w:eastAsia="仿宋_GB2312"/>
          <w:color w:val="000000"/>
          <w:sz w:val="32"/>
          <w:szCs w:val="32"/>
        </w:rPr>
        <w:t>**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**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**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10.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奖惩情况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填写省、部级以上的奖励和记功；受处分的，要填写何年何月因何问题经何单位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批准受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何种处分，何年何月经何单位批准撤消何种处分。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11.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主要家庭成员及社会关系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，填写配偶、父母、子女情况。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报名表要粘贴本人近期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寸彩色证件电子照片。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13.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报名表填写内容格式要求：宋体，五号字体。</w:t>
      </w:r>
    </w:p>
    <w:p w:rsidR="00442D62" w:rsidRDefault="00442D62" w:rsidP="00442D62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14.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本表填写不下可另附页说明。</w:t>
      </w:r>
    </w:p>
    <w:p w:rsidR="00D10803" w:rsidRPr="00442D62" w:rsidRDefault="00D10803">
      <w:bookmarkStart w:id="0" w:name="_GoBack"/>
      <w:bookmarkEnd w:id="0"/>
    </w:p>
    <w:sectPr w:rsidR="00D10803" w:rsidRPr="00442D62">
      <w:pgSz w:w="11906" w:h="16838"/>
      <w:pgMar w:top="1440" w:right="1757" w:bottom="1440" w:left="1757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62"/>
    <w:rsid w:val="00442D62"/>
    <w:rsid w:val="00D1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1</cp:revision>
  <dcterms:created xsi:type="dcterms:W3CDTF">2018-10-08T07:58:00Z</dcterms:created>
  <dcterms:modified xsi:type="dcterms:W3CDTF">2018-10-08T07:58:00Z</dcterms:modified>
</cp:coreProperties>
</file>