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7C" w:rsidRDefault="00021753">
      <w:pPr>
        <w:shd w:val="clear" w:color="000000" w:fill="FFFFFF"/>
        <w:spacing w:line="600" w:lineRule="exact"/>
        <w:ind w:firstLine="320"/>
        <w:rPr>
          <w:rFonts w:ascii="宋体" w:eastAsia="宋体" w:hAnsi="宋体"/>
          <w:b/>
        </w:rPr>
      </w:pPr>
      <w:r>
        <w:rPr>
          <w:rFonts w:ascii="宋体" w:eastAsia="宋体" w:hAnsi="宋体"/>
          <w:b/>
          <w:sz w:val="32"/>
          <w:szCs w:val="32"/>
        </w:rPr>
        <w:t>附件：</w:t>
      </w:r>
      <w:r w:rsidRPr="00D57E23">
        <w:rPr>
          <w:rFonts w:ascii="宋体" w:eastAsia="宋体" w:hAnsi="宋体"/>
          <w:b/>
          <w:sz w:val="28"/>
          <w:szCs w:val="28"/>
        </w:rPr>
        <w:t>中国电信内蒙古赤峰市分公司招聘外包制工作人员岗位表</w:t>
      </w:r>
    </w:p>
    <w:tbl>
      <w:tblPr>
        <w:tblStyle w:val="af0"/>
        <w:tblW w:w="0" w:type="auto"/>
        <w:jc w:val="center"/>
        <w:tblLook w:val="04A0"/>
      </w:tblPr>
      <w:tblGrid>
        <w:gridCol w:w="1366"/>
        <w:gridCol w:w="1134"/>
        <w:gridCol w:w="850"/>
        <w:gridCol w:w="1276"/>
        <w:gridCol w:w="1276"/>
        <w:gridCol w:w="1559"/>
        <w:gridCol w:w="4111"/>
        <w:gridCol w:w="2086"/>
      </w:tblGrid>
      <w:tr w:rsidR="00E6167C" w:rsidTr="00192725">
        <w:trPr>
          <w:jc w:val="center"/>
        </w:trPr>
        <w:tc>
          <w:tcPr>
            <w:tcW w:w="1126" w:type="dxa"/>
            <w:vAlign w:val="center"/>
          </w:tcPr>
          <w:p w:rsidR="00E6167C" w:rsidRPr="00D57E23" w:rsidRDefault="005C3D5D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应聘地点名称</w:t>
            </w:r>
          </w:p>
        </w:tc>
        <w:tc>
          <w:tcPr>
            <w:tcW w:w="1134" w:type="dxa"/>
            <w:vAlign w:val="center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岗位</w:t>
            </w:r>
          </w:p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50" w:type="dxa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招考</w:t>
            </w:r>
          </w:p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人数</w:t>
            </w:r>
          </w:p>
        </w:tc>
        <w:tc>
          <w:tcPr>
            <w:tcW w:w="1276" w:type="dxa"/>
            <w:vAlign w:val="center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年龄</w:t>
            </w:r>
          </w:p>
        </w:tc>
        <w:tc>
          <w:tcPr>
            <w:tcW w:w="1559" w:type="dxa"/>
            <w:vAlign w:val="center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4111" w:type="dxa"/>
            <w:vAlign w:val="center"/>
          </w:tcPr>
          <w:p w:rsidR="00E6167C" w:rsidRPr="00D57E23" w:rsidRDefault="00192725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2086" w:type="dxa"/>
            <w:vAlign w:val="center"/>
          </w:tcPr>
          <w:p w:rsidR="00E6167C" w:rsidRPr="00D57E23" w:rsidRDefault="00021753">
            <w:pPr>
              <w:spacing w:line="3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D57E23">
              <w:rPr>
                <w:rFonts w:ascii="宋体" w:eastAsia="宋体" w:hAnsi="宋体"/>
                <w:b/>
                <w:sz w:val="24"/>
                <w:szCs w:val="24"/>
              </w:rPr>
              <w:t>备注</w:t>
            </w:r>
          </w:p>
        </w:tc>
      </w:tr>
      <w:tr w:rsidR="00E6167C" w:rsidTr="00192725">
        <w:trPr>
          <w:trHeight w:val="510"/>
          <w:jc w:val="center"/>
        </w:trPr>
        <w:tc>
          <w:tcPr>
            <w:tcW w:w="1126" w:type="dxa"/>
            <w:vMerge w:val="restart"/>
            <w:vAlign w:val="center"/>
          </w:tcPr>
          <w:tbl>
            <w:tblPr>
              <w:tblW w:w="1140" w:type="dxa"/>
              <w:tblLook w:val="04A0"/>
            </w:tblPr>
            <w:tblGrid>
              <w:gridCol w:w="1140"/>
            </w:tblGrid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红山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松山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新城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宁城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平庄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敖汉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左旗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喀旗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右旗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翁旗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克旗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阿旗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林西</w:t>
                  </w:r>
                </w:p>
              </w:tc>
            </w:tr>
            <w:tr w:rsidR="005C3D5D" w:rsidRPr="005C3D5D" w:rsidTr="005C3D5D">
              <w:trPr>
                <w:trHeight w:val="270"/>
              </w:trPr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3D5D" w:rsidRPr="005C3D5D" w:rsidRDefault="005C3D5D" w:rsidP="005C3D5D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  <w:szCs w:val="22"/>
                    </w:rPr>
                  </w:pPr>
                  <w:r w:rsidRPr="005C3D5D">
                    <w:rPr>
                      <w:rFonts w:ascii="宋体" w:eastAsia="宋体" w:hAnsi="宋体" w:cs="宋体" w:hint="eastAsia"/>
                      <w:color w:val="000000"/>
                      <w:sz w:val="22"/>
                      <w:szCs w:val="22"/>
                    </w:rPr>
                    <w:t>元宝山</w:t>
                  </w:r>
                </w:p>
              </w:tc>
            </w:tr>
          </w:tbl>
          <w:p w:rsidR="00E6167C" w:rsidRDefault="00E6167C">
            <w:pPr>
              <w:spacing w:line="34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67C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仿宋" w:eastAsia="宋体" w:hAnsi="宋体" w:hint="eastAsia"/>
                <w:sz w:val="24"/>
                <w:szCs w:val="24"/>
              </w:rPr>
              <w:t>营业代表</w:t>
            </w:r>
          </w:p>
        </w:tc>
        <w:tc>
          <w:tcPr>
            <w:tcW w:w="850" w:type="dxa"/>
            <w:vAlign w:val="center"/>
          </w:tcPr>
          <w:p w:rsidR="00E6167C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>
              <w:rPr>
                <w:rFonts w:ascii="仿宋" w:eastAsia="宋体" w:hAnsi="宋体" w:hint="eastAsia"/>
                <w:sz w:val="24"/>
                <w:szCs w:val="24"/>
              </w:rPr>
              <w:t>若干</w:t>
            </w:r>
          </w:p>
        </w:tc>
        <w:tc>
          <w:tcPr>
            <w:tcW w:w="1276" w:type="dxa"/>
            <w:vAlign w:val="center"/>
          </w:tcPr>
          <w:p w:rsidR="00E6167C" w:rsidRDefault="00192725" w:rsidP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>
              <w:rPr>
                <w:rFonts w:ascii="仿宋" w:eastAsia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W w:w="1276" w:type="dxa"/>
            <w:vAlign w:val="center"/>
          </w:tcPr>
          <w:p w:rsidR="00E6167C" w:rsidRDefault="00192725" w:rsidP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>
              <w:rPr>
                <w:rFonts w:ascii="仿宋" w:eastAsia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1559" w:type="dxa"/>
            <w:vAlign w:val="center"/>
          </w:tcPr>
          <w:p w:rsidR="00E6167C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>
              <w:rPr>
                <w:rFonts w:ascii="仿宋" w:eastAsia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192725" w:rsidRPr="00192725" w:rsidRDefault="00192725" w:rsidP="00C33EF4">
            <w:pPr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业务受理、主动营销、客户维系</w:t>
            </w:r>
          </w:p>
          <w:p w:rsidR="00192725" w:rsidRPr="00192725" w:rsidRDefault="00192725" w:rsidP="00C33EF4">
            <w:pPr>
              <w:ind w:firstLineChars="50" w:firstLine="90"/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客户引导和咨询</w:t>
            </w:r>
          </w:p>
          <w:p w:rsidR="00192725" w:rsidRPr="00192725" w:rsidRDefault="00192725" w:rsidP="00C33EF4">
            <w:pPr>
              <w:ind w:firstLineChars="50" w:firstLine="90"/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投诉受理及处理</w:t>
            </w:r>
          </w:p>
          <w:p w:rsidR="00E6167C" w:rsidRPr="00192725" w:rsidRDefault="00192725" w:rsidP="00C33EF4">
            <w:pPr>
              <w:ind w:firstLineChars="50" w:firstLine="90"/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业务推介、宣传及演示</w:t>
            </w:r>
          </w:p>
        </w:tc>
        <w:tc>
          <w:tcPr>
            <w:tcW w:w="2086" w:type="dxa"/>
            <w:vAlign w:val="center"/>
          </w:tcPr>
          <w:p w:rsidR="00E6167C" w:rsidRDefault="00C33EF4" w:rsidP="00C33EF4">
            <w:pPr>
              <w:spacing w:line="320" w:lineRule="exact"/>
              <w:rPr>
                <w:rFonts w:ascii="仿宋" w:eastAsia="宋体" w:hAnsi="宋体"/>
                <w:sz w:val="24"/>
                <w:szCs w:val="24"/>
              </w:rPr>
            </w:pPr>
            <w:r>
              <w:rPr>
                <w:rFonts w:ascii="仿宋" w:eastAsia="宋体" w:hAnsi="宋体" w:hint="eastAsia"/>
                <w:sz w:val="24"/>
                <w:szCs w:val="24"/>
              </w:rPr>
              <w:t>限女，身高</w:t>
            </w:r>
            <w:r w:rsidRPr="00C33EF4">
              <w:rPr>
                <w:rFonts w:asciiTheme="majorEastAsia" w:eastAsiaTheme="majorEastAsia" w:hAnsiTheme="majorEastAsia" w:hint="eastAsia"/>
                <w:sz w:val="24"/>
                <w:szCs w:val="24"/>
              </w:rPr>
              <w:t>163cm</w:t>
            </w:r>
            <w:r>
              <w:rPr>
                <w:rFonts w:ascii="仿宋" w:eastAsia="宋体" w:hAnsi="宋体" w:hint="eastAsia"/>
                <w:sz w:val="24"/>
                <w:szCs w:val="24"/>
              </w:rPr>
              <w:t>以上</w:t>
            </w:r>
          </w:p>
        </w:tc>
      </w:tr>
      <w:tr w:rsidR="00192725" w:rsidTr="00192725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192725" w:rsidRDefault="00192725"/>
        </w:tc>
        <w:tc>
          <w:tcPr>
            <w:tcW w:w="1134" w:type="dxa"/>
            <w:vAlign w:val="center"/>
          </w:tcPr>
          <w:p w:rsidR="00192725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仿宋" w:eastAsia="宋体" w:hAnsi="宋体" w:hint="eastAsia"/>
                <w:sz w:val="24"/>
                <w:szCs w:val="24"/>
              </w:rPr>
              <w:t>政企经理</w:t>
            </w:r>
          </w:p>
        </w:tc>
        <w:tc>
          <w:tcPr>
            <w:tcW w:w="850" w:type="dxa"/>
          </w:tcPr>
          <w:p w:rsidR="00192725" w:rsidRDefault="00192725" w:rsidP="00192725">
            <w:pPr>
              <w:jc w:val="center"/>
            </w:pPr>
            <w:r w:rsidRPr="002558D9">
              <w:rPr>
                <w:rFonts w:ascii="仿宋" w:eastAsia="宋体" w:hAnsi="宋体" w:hint="eastAsia"/>
                <w:sz w:val="24"/>
                <w:szCs w:val="24"/>
              </w:rPr>
              <w:t>若干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110773">
              <w:rPr>
                <w:rFonts w:ascii="仿宋" w:eastAsia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D31383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D31383">
              <w:rPr>
                <w:rFonts w:ascii="仿宋" w:eastAsia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1559" w:type="dxa"/>
          </w:tcPr>
          <w:p w:rsidR="00192725" w:rsidRDefault="00192725" w:rsidP="00192725">
            <w:pPr>
              <w:jc w:val="center"/>
            </w:pPr>
            <w:r w:rsidRPr="000B017F">
              <w:rPr>
                <w:rFonts w:ascii="仿宋" w:eastAsia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192725" w:rsidRPr="00192725" w:rsidRDefault="00192725" w:rsidP="00C33EF4">
            <w:pPr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清单客户梳理、商机梳理、洽谈业务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、商机转化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                                                                               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 xml:space="preserve">      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客户维系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、欠款打票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、回收欠费、套餐迁转、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IPTV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迁转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、融合宣传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政企客户业务拓展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承接集团公司统谈业务</w:t>
            </w:r>
            <w:r w:rsidRPr="00192725">
              <w:rPr>
                <w:rFonts w:ascii="仿宋" w:eastAsia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192725">
              <w:rPr>
                <w:rFonts w:ascii="仿宋" w:eastAsia="宋体" w:hAnsi="宋体" w:hint="eastAsia"/>
                <w:sz w:val="18"/>
                <w:szCs w:val="18"/>
              </w:rPr>
              <w:t>政企客户故障处理</w:t>
            </w:r>
          </w:p>
        </w:tc>
        <w:tc>
          <w:tcPr>
            <w:tcW w:w="2086" w:type="dxa"/>
            <w:vAlign w:val="center"/>
          </w:tcPr>
          <w:p w:rsidR="00192725" w:rsidRDefault="00192725">
            <w:pPr>
              <w:spacing w:line="320" w:lineRule="exact"/>
              <w:rPr>
                <w:rFonts w:ascii="仿宋" w:eastAsia="宋体" w:hAnsi="宋体"/>
                <w:sz w:val="24"/>
                <w:szCs w:val="24"/>
              </w:rPr>
            </w:pPr>
          </w:p>
        </w:tc>
      </w:tr>
      <w:tr w:rsidR="00192725" w:rsidTr="00192725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192725" w:rsidRDefault="00192725"/>
        </w:tc>
        <w:tc>
          <w:tcPr>
            <w:tcW w:w="1134" w:type="dxa"/>
            <w:vAlign w:val="center"/>
          </w:tcPr>
          <w:p w:rsidR="00192725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仿宋" w:eastAsia="宋体" w:hAnsi="宋体" w:hint="eastAsia"/>
                <w:sz w:val="24"/>
                <w:szCs w:val="24"/>
              </w:rPr>
              <w:t>社区经理</w:t>
            </w:r>
          </w:p>
        </w:tc>
        <w:tc>
          <w:tcPr>
            <w:tcW w:w="850" w:type="dxa"/>
          </w:tcPr>
          <w:p w:rsidR="00192725" w:rsidRDefault="00192725" w:rsidP="00192725">
            <w:pPr>
              <w:jc w:val="center"/>
            </w:pPr>
            <w:r w:rsidRPr="002558D9">
              <w:rPr>
                <w:rFonts w:ascii="仿宋" w:eastAsia="宋体" w:hAnsi="宋体" w:hint="eastAsia"/>
                <w:sz w:val="24"/>
                <w:szCs w:val="24"/>
              </w:rPr>
              <w:t>若干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110773">
              <w:rPr>
                <w:rFonts w:ascii="仿宋" w:eastAsia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D31383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D31383">
              <w:rPr>
                <w:rFonts w:ascii="仿宋" w:eastAsia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1559" w:type="dxa"/>
          </w:tcPr>
          <w:p w:rsidR="00192725" w:rsidRDefault="00192725" w:rsidP="00192725">
            <w:pPr>
              <w:jc w:val="center"/>
            </w:pPr>
            <w:r w:rsidRPr="000B017F">
              <w:rPr>
                <w:rFonts w:ascii="仿宋" w:eastAsia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社区渠道网点拓展</w:t>
            </w:r>
          </w:p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日常社区店帮扶，驻店，巡店，培训</w:t>
            </w:r>
          </w:p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社区营销活动组织，宣传，布置</w:t>
            </w:r>
          </w:p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社区店助销，协销</w:t>
            </w:r>
          </w:p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代理商佣金、结算，营销活动的传达和相关报表的反馈</w:t>
            </w:r>
          </w:p>
          <w:p w:rsidR="00192725" w:rsidRPr="00192725" w:rsidRDefault="00192725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6.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承担社区店发展各项指标</w:t>
            </w:r>
          </w:p>
          <w:p w:rsidR="00192725" w:rsidRPr="00192725" w:rsidRDefault="00192725" w:rsidP="00C33EF4">
            <w:pPr>
              <w:jc w:val="left"/>
              <w:rPr>
                <w:rFonts w:ascii="仿宋" w:eastAsia="宋体" w:hAnsi="宋体"/>
                <w:sz w:val="18"/>
                <w:szCs w:val="18"/>
              </w:rPr>
            </w:pPr>
            <w:r w:rsidRPr="00192725">
              <w:rPr>
                <w:rFonts w:asciiTheme="majorEastAsia" w:eastAsiaTheme="majorEastAsia" w:hAnsiTheme="majorEastAsia"/>
                <w:sz w:val="18"/>
                <w:szCs w:val="18"/>
              </w:rPr>
              <w:t>7.</w:t>
            </w:r>
            <w:r w:rsidRPr="00192725">
              <w:rPr>
                <w:rFonts w:asciiTheme="majorEastAsia" w:eastAsiaTheme="majorEastAsia" w:hAnsiTheme="majorEastAsia" w:hint="eastAsia"/>
                <w:sz w:val="18"/>
                <w:szCs w:val="18"/>
              </w:rPr>
              <w:t>竞争信息收集</w:t>
            </w:r>
          </w:p>
        </w:tc>
        <w:tc>
          <w:tcPr>
            <w:tcW w:w="2086" w:type="dxa"/>
            <w:vAlign w:val="center"/>
          </w:tcPr>
          <w:p w:rsidR="00192725" w:rsidRDefault="00192725">
            <w:pPr>
              <w:spacing w:line="340" w:lineRule="exact"/>
              <w:rPr>
                <w:rFonts w:ascii="仿宋" w:eastAsia="宋体" w:hAnsi="宋体"/>
                <w:sz w:val="24"/>
                <w:szCs w:val="24"/>
              </w:rPr>
            </w:pPr>
          </w:p>
        </w:tc>
      </w:tr>
      <w:tr w:rsidR="00192725" w:rsidTr="00192725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192725" w:rsidRDefault="00192725"/>
        </w:tc>
        <w:tc>
          <w:tcPr>
            <w:tcW w:w="1134" w:type="dxa"/>
            <w:vAlign w:val="center"/>
          </w:tcPr>
          <w:p w:rsidR="00192725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仿宋" w:eastAsia="宋体" w:hAnsi="宋体" w:hint="eastAsia"/>
                <w:sz w:val="24"/>
                <w:szCs w:val="24"/>
              </w:rPr>
              <w:t>商圈经理</w:t>
            </w:r>
          </w:p>
        </w:tc>
        <w:tc>
          <w:tcPr>
            <w:tcW w:w="850" w:type="dxa"/>
          </w:tcPr>
          <w:p w:rsidR="00192725" w:rsidRDefault="00192725" w:rsidP="00192725">
            <w:pPr>
              <w:jc w:val="center"/>
            </w:pPr>
            <w:r w:rsidRPr="002558D9">
              <w:rPr>
                <w:rFonts w:ascii="仿宋" w:eastAsia="宋体" w:hAnsi="宋体" w:hint="eastAsia"/>
                <w:sz w:val="24"/>
                <w:szCs w:val="24"/>
              </w:rPr>
              <w:t>若干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110773">
              <w:rPr>
                <w:rFonts w:ascii="仿宋" w:eastAsia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D31383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D31383">
              <w:rPr>
                <w:rFonts w:ascii="仿宋" w:eastAsia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1559" w:type="dxa"/>
          </w:tcPr>
          <w:p w:rsidR="00192725" w:rsidRDefault="00192725" w:rsidP="00192725">
            <w:pPr>
              <w:jc w:val="center"/>
            </w:pPr>
            <w:r w:rsidRPr="000B017F">
              <w:rPr>
                <w:rFonts w:ascii="仿宋" w:eastAsia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商圈渠道网点拓展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日常驻店，巡店，培训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营销活动组织，宣传，布置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门店、卖场助销，协销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代理商佣金、结算，营销活动的传达和相关报表的反馈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6.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承担门店发展指标</w:t>
            </w:r>
          </w:p>
          <w:p w:rsidR="00192725" w:rsidRDefault="00C33EF4" w:rsidP="00C33EF4">
            <w:pPr>
              <w:jc w:val="left"/>
              <w:rPr>
                <w:rFonts w:ascii="仿宋" w:eastAsia="宋体" w:hAnsi="宋体"/>
                <w:sz w:val="24"/>
                <w:szCs w:val="24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7.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竞争信息收集</w:t>
            </w:r>
          </w:p>
        </w:tc>
        <w:tc>
          <w:tcPr>
            <w:tcW w:w="2086" w:type="dxa"/>
            <w:vAlign w:val="center"/>
          </w:tcPr>
          <w:p w:rsidR="00192725" w:rsidRDefault="00192725">
            <w:pPr>
              <w:spacing w:line="320" w:lineRule="exact"/>
              <w:rPr>
                <w:rFonts w:ascii="仿宋" w:eastAsia="宋体" w:hAnsi="宋体"/>
                <w:sz w:val="24"/>
                <w:szCs w:val="24"/>
              </w:rPr>
            </w:pPr>
          </w:p>
        </w:tc>
      </w:tr>
      <w:tr w:rsidR="00192725" w:rsidTr="00192725">
        <w:trPr>
          <w:trHeight w:val="510"/>
          <w:jc w:val="center"/>
        </w:trPr>
        <w:tc>
          <w:tcPr>
            <w:tcW w:w="1126" w:type="dxa"/>
            <w:vMerge/>
            <w:vAlign w:val="center"/>
          </w:tcPr>
          <w:p w:rsidR="00192725" w:rsidRDefault="00192725"/>
        </w:tc>
        <w:tc>
          <w:tcPr>
            <w:tcW w:w="1134" w:type="dxa"/>
            <w:vAlign w:val="center"/>
          </w:tcPr>
          <w:p w:rsidR="00192725" w:rsidRDefault="00192725">
            <w:pPr>
              <w:spacing w:line="320" w:lineRule="exact"/>
              <w:jc w:val="center"/>
              <w:rPr>
                <w:rFonts w:ascii="仿宋" w:eastAsia="宋体" w:hAnsi="宋体"/>
                <w:sz w:val="24"/>
                <w:szCs w:val="24"/>
              </w:rPr>
            </w:pPr>
            <w:r w:rsidRPr="00192725">
              <w:rPr>
                <w:rFonts w:ascii="仿宋" w:eastAsia="宋体" w:hAnsi="宋体" w:hint="eastAsia"/>
                <w:sz w:val="24"/>
                <w:szCs w:val="24"/>
              </w:rPr>
              <w:t>农村渠道经理</w:t>
            </w:r>
          </w:p>
        </w:tc>
        <w:tc>
          <w:tcPr>
            <w:tcW w:w="850" w:type="dxa"/>
          </w:tcPr>
          <w:p w:rsidR="00192725" w:rsidRDefault="00192725" w:rsidP="00192725">
            <w:pPr>
              <w:jc w:val="center"/>
            </w:pPr>
            <w:r w:rsidRPr="002558D9">
              <w:rPr>
                <w:rFonts w:ascii="仿宋" w:eastAsia="宋体" w:hAnsi="宋体" w:hint="eastAsia"/>
                <w:sz w:val="24"/>
                <w:szCs w:val="24"/>
              </w:rPr>
              <w:t>若干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110773">
              <w:rPr>
                <w:rFonts w:ascii="仿宋" w:eastAsia="宋体" w:hAnsi="宋体" w:hint="eastAsia"/>
                <w:sz w:val="24"/>
                <w:szCs w:val="24"/>
              </w:rPr>
              <w:t>大专以上</w:t>
            </w:r>
          </w:p>
        </w:tc>
        <w:tc>
          <w:tcPr>
            <w:tcW w:w="1276" w:type="dxa"/>
          </w:tcPr>
          <w:p w:rsidR="00192725" w:rsidRDefault="00192725" w:rsidP="00192725">
            <w:pPr>
              <w:jc w:val="center"/>
            </w:pPr>
            <w:r w:rsidRPr="00D31383">
              <w:rPr>
                <w:rFonts w:ascii="宋体" w:eastAsia="宋体" w:hAnsi="宋体" w:hint="eastAsia"/>
                <w:sz w:val="24"/>
                <w:szCs w:val="24"/>
              </w:rPr>
              <w:t>30</w:t>
            </w:r>
            <w:r w:rsidRPr="00D31383">
              <w:rPr>
                <w:rFonts w:ascii="仿宋" w:eastAsia="宋体" w:hAnsi="宋体" w:hint="eastAsia"/>
                <w:sz w:val="24"/>
                <w:szCs w:val="24"/>
              </w:rPr>
              <w:t>岁以下</w:t>
            </w:r>
          </w:p>
        </w:tc>
        <w:tc>
          <w:tcPr>
            <w:tcW w:w="1559" w:type="dxa"/>
          </w:tcPr>
          <w:p w:rsidR="00192725" w:rsidRDefault="00192725" w:rsidP="00192725">
            <w:pPr>
              <w:jc w:val="center"/>
            </w:pPr>
            <w:r w:rsidRPr="000B017F">
              <w:rPr>
                <w:rFonts w:ascii="仿宋" w:eastAsia="宋体" w:hAnsi="宋体" w:hint="eastAsia"/>
                <w:sz w:val="24"/>
                <w:szCs w:val="24"/>
              </w:rPr>
              <w:t>不限</w:t>
            </w:r>
          </w:p>
        </w:tc>
        <w:tc>
          <w:tcPr>
            <w:tcW w:w="4111" w:type="dxa"/>
            <w:vAlign w:val="center"/>
          </w:tcPr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农村渠道网点拓展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驻店，巡店，培训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营销活动组织，宣传，布置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4.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助销，协销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代理商佣金、结算，营销活动的传达和相关报表的反馈</w:t>
            </w:r>
          </w:p>
          <w:p w:rsidR="00C33EF4" w:rsidRPr="00C33EF4" w:rsidRDefault="00C33EF4" w:rsidP="00C33EF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6.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承担发展指标</w:t>
            </w:r>
          </w:p>
          <w:p w:rsidR="00192725" w:rsidRDefault="00C33EF4" w:rsidP="00C33EF4">
            <w:pPr>
              <w:jc w:val="left"/>
              <w:rPr>
                <w:rFonts w:ascii="仿宋" w:eastAsia="宋体" w:hAnsi="宋体"/>
                <w:sz w:val="24"/>
                <w:szCs w:val="24"/>
              </w:rPr>
            </w:pPr>
            <w:r w:rsidRPr="00C33EF4">
              <w:rPr>
                <w:rFonts w:asciiTheme="majorEastAsia" w:eastAsiaTheme="majorEastAsia" w:hAnsiTheme="majorEastAsia"/>
                <w:sz w:val="18"/>
                <w:szCs w:val="18"/>
              </w:rPr>
              <w:t>7.</w:t>
            </w:r>
            <w:r w:rsidRPr="00C33EF4">
              <w:rPr>
                <w:rFonts w:asciiTheme="majorEastAsia" w:eastAsiaTheme="majorEastAsia" w:hAnsiTheme="majorEastAsia" w:hint="eastAsia"/>
                <w:sz w:val="18"/>
                <w:szCs w:val="18"/>
              </w:rPr>
              <w:t>竞争信息收集</w:t>
            </w:r>
          </w:p>
        </w:tc>
        <w:tc>
          <w:tcPr>
            <w:tcW w:w="2086" w:type="dxa"/>
            <w:vAlign w:val="center"/>
          </w:tcPr>
          <w:p w:rsidR="00192725" w:rsidRDefault="00192725">
            <w:pPr>
              <w:spacing w:line="320" w:lineRule="exact"/>
              <w:rPr>
                <w:rFonts w:ascii="仿宋" w:eastAsia="宋体" w:hAnsi="宋体"/>
                <w:sz w:val="24"/>
                <w:szCs w:val="24"/>
              </w:rPr>
            </w:pPr>
          </w:p>
        </w:tc>
      </w:tr>
    </w:tbl>
    <w:p w:rsidR="00E6167C" w:rsidRDefault="00E6167C">
      <w:pPr>
        <w:spacing w:line="600" w:lineRule="exact"/>
        <w:rPr>
          <w:rFonts w:hAnsi="Arial"/>
          <w:sz w:val="21"/>
          <w:szCs w:val="21"/>
        </w:rPr>
      </w:pPr>
    </w:p>
    <w:sectPr w:rsidR="00E6167C" w:rsidSect="00E6167C">
      <w:footerReference w:type="default" r:id="rId6"/>
      <w:pgSz w:w="16838" w:h="11906" w:orient="landscape"/>
      <w:pgMar w:top="1701" w:right="1418" w:bottom="1701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FA" w:rsidRDefault="001B19FA" w:rsidP="00E6167C">
      <w:r>
        <w:separator/>
      </w:r>
    </w:p>
  </w:endnote>
  <w:endnote w:type="continuationSeparator" w:id="0">
    <w:p w:rsidR="001B19FA" w:rsidRDefault="001B19FA" w:rsidP="00E6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hakuyoxingshu7000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7C" w:rsidRDefault="001C6B4B">
    <w:pPr>
      <w:pStyle w:val="af1"/>
      <w:snapToGrid w:val="0"/>
      <w:jc w:val="center"/>
      <w:rPr>
        <w:rFonts w:hAnsi="Arial"/>
      </w:rPr>
    </w:pPr>
    <w:r>
      <w:rPr>
        <w:rFonts w:hAnsi="Arial"/>
      </w:rPr>
      <w:fldChar w:fldCharType="begin"/>
    </w:r>
    <w:r w:rsidR="00021753">
      <w:instrText>PAGE  \* MERGEFORMAT</w:instrText>
    </w:r>
    <w:r w:rsidRPr="001C6B4B">
      <w:fldChar w:fldCharType="separate"/>
    </w:r>
    <w:r w:rsidR="001B19FA" w:rsidRPr="001B19FA">
      <w:rPr>
        <w:rFonts w:hAnsi="Arial"/>
        <w:noProof/>
      </w:rPr>
      <w:t>1</w:t>
    </w:r>
    <w:r>
      <w:rPr>
        <w:rFonts w:hAnsi="Arial"/>
      </w:rPr>
      <w:fldChar w:fldCharType="end"/>
    </w:r>
  </w:p>
  <w:p w:rsidR="00E6167C" w:rsidRDefault="00E6167C">
    <w:pPr>
      <w:pStyle w:val="af1"/>
      <w:snapToGrid w:val="0"/>
      <w:jc w:val="left"/>
      <w:rPr>
        <w:rFonts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FA" w:rsidRDefault="001B19FA" w:rsidP="00E6167C">
      <w:r>
        <w:separator/>
      </w:r>
    </w:p>
  </w:footnote>
  <w:footnote w:type="continuationSeparator" w:id="0">
    <w:p w:rsidR="001B19FA" w:rsidRDefault="001B19FA" w:rsidP="00E61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E6167C"/>
    <w:rsid w:val="00021753"/>
    <w:rsid w:val="00192725"/>
    <w:rsid w:val="001B19FA"/>
    <w:rsid w:val="001C6B4B"/>
    <w:rsid w:val="005C3D5D"/>
    <w:rsid w:val="00C33EF4"/>
    <w:rsid w:val="00D57E23"/>
    <w:rsid w:val="00E6167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rsid w:val="00E6167C"/>
    <w:pPr>
      <w:jc w:val="both"/>
    </w:pPr>
    <w:rPr>
      <w:rFonts w:eastAsia="Arial"/>
      <w:sz w:val="20"/>
      <w:szCs w:val="20"/>
    </w:rPr>
  </w:style>
  <w:style w:type="paragraph" w:styleId="1">
    <w:name w:val="heading 1"/>
    <w:uiPriority w:val="7"/>
    <w:qFormat/>
    <w:rsid w:val="00E6167C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E6167C"/>
    <w:pPr>
      <w:jc w:val="both"/>
      <w:outlineLvl w:val="1"/>
    </w:pPr>
  </w:style>
  <w:style w:type="paragraph" w:styleId="3">
    <w:name w:val="heading 3"/>
    <w:uiPriority w:val="9"/>
    <w:qFormat/>
    <w:rsid w:val="00E6167C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E6167C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E6167C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E6167C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E6167C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E6167C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E6167C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E6167C"/>
    <w:pPr>
      <w:jc w:val="both"/>
    </w:pPr>
  </w:style>
  <w:style w:type="paragraph" w:styleId="a4">
    <w:name w:val="Title"/>
    <w:uiPriority w:val="6"/>
    <w:qFormat/>
    <w:rsid w:val="00E6167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E6167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E6167C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E6167C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E6167C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E6167C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E6167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E6167C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E6167C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E6167C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E6167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E6167C"/>
    <w:pPr>
      <w:ind w:left="850"/>
      <w:jc w:val="both"/>
    </w:pPr>
  </w:style>
  <w:style w:type="paragraph" w:styleId="TOC">
    <w:name w:val="TOC Heading"/>
    <w:uiPriority w:val="27"/>
    <w:unhideWhenUsed/>
    <w:qFormat/>
    <w:rsid w:val="00E6167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E6167C"/>
    <w:pPr>
      <w:jc w:val="both"/>
    </w:pPr>
  </w:style>
  <w:style w:type="paragraph" w:styleId="20">
    <w:name w:val="toc 2"/>
    <w:uiPriority w:val="29"/>
    <w:unhideWhenUsed/>
    <w:qFormat/>
    <w:rsid w:val="00E6167C"/>
    <w:pPr>
      <w:ind w:left="425"/>
      <w:jc w:val="both"/>
    </w:pPr>
  </w:style>
  <w:style w:type="paragraph" w:styleId="30">
    <w:name w:val="toc 3"/>
    <w:uiPriority w:val="30"/>
    <w:unhideWhenUsed/>
    <w:qFormat/>
    <w:rsid w:val="00E6167C"/>
    <w:pPr>
      <w:ind w:left="850"/>
      <w:jc w:val="both"/>
    </w:pPr>
  </w:style>
  <w:style w:type="paragraph" w:styleId="40">
    <w:name w:val="toc 4"/>
    <w:uiPriority w:val="31"/>
    <w:unhideWhenUsed/>
    <w:qFormat/>
    <w:rsid w:val="00E6167C"/>
    <w:pPr>
      <w:ind w:left="1275"/>
      <w:jc w:val="both"/>
    </w:pPr>
  </w:style>
  <w:style w:type="paragraph" w:styleId="50">
    <w:name w:val="toc 5"/>
    <w:uiPriority w:val="32"/>
    <w:unhideWhenUsed/>
    <w:qFormat/>
    <w:rsid w:val="00E6167C"/>
    <w:pPr>
      <w:ind w:left="1700"/>
      <w:jc w:val="both"/>
    </w:pPr>
  </w:style>
  <w:style w:type="paragraph" w:styleId="60">
    <w:name w:val="toc 6"/>
    <w:uiPriority w:val="33"/>
    <w:unhideWhenUsed/>
    <w:qFormat/>
    <w:rsid w:val="00E6167C"/>
    <w:pPr>
      <w:ind w:left="2125"/>
      <w:jc w:val="both"/>
    </w:pPr>
  </w:style>
  <w:style w:type="paragraph" w:styleId="70">
    <w:name w:val="toc 7"/>
    <w:uiPriority w:val="34"/>
    <w:unhideWhenUsed/>
    <w:qFormat/>
    <w:rsid w:val="00E6167C"/>
    <w:pPr>
      <w:ind w:left="2550"/>
      <w:jc w:val="both"/>
    </w:pPr>
  </w:style>
  <w:style w:type="paragraph" w:styleId="80">
    <w:name w:val="toc 8"/>
    <w:uiPriority w:val="35"/>
    <w:unhideWhenUsed/>
    <w:qFormat/>
    <w:rsid w:val="00E6167C"/>
    <w:pPr>
      <w:ind w:left="2975"/>
      <w:jc w:val="both"/>
    </w:pPr>
  </w:style>
  <w:style w:type="paragraph" w:styleId="90">
    <w:name w:val="toc 9"/>
    <w:uiPriority w:val="36"/>
    <w:unhideWhenUsed/>
    <w:qFormat/>
    <w:rsid w:val="00E6167C"/>
    <w:pPr>
      <w:ind w:left="3400"/>
      <w:jc w:val="both"/>
    </w:pPr>
  </w:style>
  <w:style w:type="table" w:styleId="af0">
    <w:name w:val="Table Grid"/>
    <w:uiPriority w:val="38"/>
    <w:rsid w:val="00E6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Char"/>
    <w:rsid w:val="00E616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f1"/>
    <w:rsid w:val="00E6167C"/>
    <w:rPr>
      <w:rFonts w:ascii="Calibri" w:eastAsia="Arial" w:hAnsi="Calibri"/>
      <w:w w:val="100"/>
      <w:sz w:val="18"/>
      <w:szCs w:val="18"/>
      <w:shd w:val="clear" w:color="auto" w:fill="auto"/>
    </w:rPr>
  </w:style>
  <w:style w:type="paragraph" w:styleId="af2">
    <w:name w:val="header"/>
    <w:basedOn w:val="a"/>
    <w:link w:val="Char0"/>
    <w:semiHidden/>
    <w:unhideWhenUsed/>
    <w:rsid w:val="00E6167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2"/>
    <w:semiHidden/>
    <w:rsid w:val="00E6167C"/>
    <w:rPr>
      <w:rFonts w:ascii="Calibri" w:eastAsia="Arial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975</Characters>
  <Application>Microsoft Office Word</Application>
  <DocSecurity>0</DocSecurity>
  <Lines>8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2018-10-24T07:02:00Z</dcterms:created>
  <dcterms:modified xsi:type="dcterms:W3CDTF">2018-10-24T07:35:00Z</dcterms:modified>
</cp:coreProperties>
</file>