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体能测试评分标准</w:t>
      </w:r>
    </w:p>
    <w:tbl>
      <w:tblPr>
        <w:tblStyle w:val="3"/>
        <w:tblW w:w="8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347"/>
        <w:gridCol w:w="2368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1000米（分秒）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立定跳远（米）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引体向上（个）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以下为零分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以下为零分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’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/>
      <w:bookmarkStart w:id="0" w:name="_GoBack"/>
      <w:bookmarkEnd w:id="0"/>
    </w:p>
    <w:sectPr>
      <w:pgSz w:w="12240" w:h="15840"/>
      <w:pgMar w:top="873" w:right="1800" w:bottom="816" w:left="1800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fixed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仿宋">
    <w:altName w:val="仿宋_GB2312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仿宋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D6D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3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2016-05-11T07:17:29Z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