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宋体" w:eastAsia="仿宋_GB2312" w:cs="Arial"/>
          <w:color w:val="28282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宋体" w:eastAsia="黑体" w:cs="Arial"/>
          <w:color w:val="282828"/>
          <w:sz w:val="36"/>
          <w:szCs w:val="36"/>
          <w:shd w:val="clear" w:color="auto" w:fill="FFFFFF"/>
        </w:rPr>
        <w:t>黄岛区金沙滩景区协管员招聘简章</w:t>
      </w:r>
    </w:p>
    <w:p>
      <w:pPr>
        <w:widowControl/>
        <w:spacing w:line="560" w:lineRule="exact"/>
        <w:jc w:val="center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outlineLvl w:val="1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受用人单位委托，现面向社会公开招聘金沙滩景区协管员10名。现将有关事项公布如下：</w:t>
      </w:r>
    </w:p>
    <w:p>
      <w:pPr>
        <w:widowControl/>
        <w:spacing w:line="560" w:lineRule="exact"/>
        <w:ind w:firstLine="640" w:firstLineChars="200"/>
        <w:outlineLvl w:val="1"/>
        <w:rPr>
          <w:rFonts w:ascii="黑体" w:hAnsi="仿宋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Arial"/>
          <w:color w:val="000000"/>
          <w:kern w:val="0"/>
          <w:sz w:val="32"/>
          <w:szCs w:val="32"/>
        </w:rPr>
        <w:t>一、招聘条件</w:t>
      </w:r>
    </w:p>
    <w:p>
      <w:pPr>
        <w:spacing w:line="600" w:lineRule="exact"/>
        <w:ind w:firstLine="640" w:firstLineChars="200"/>
        <w:rPr>
          <w:rFonts w:ascii="仿宋_GB2312" w:hAnsi="Arial" w:eastAsia="仿宋_GB2312" w:cs="Arial"/>
          <w:color w:val="282828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282828"/>
          <w:sz w:val="32"/>
          <w:szCs w:val="32"/>
          <w:shd w:val="clear" w:color="auto" w:fill="FFFFFF"/>
        </w:rPr>
        <w:t>1、年龄在18-30周岁(1987.01-1999.07)。</w:t>
      </w:r>
    </w:p>
    <w:p>
      <w:pPr>
        <w:spacing w:line="600" w:lineRule="exact"/>
        <w:ind w:firstLine="640" w:firstLineChars="200"/>
        <w:rPr>
          <w:rFonts w:ascii="仿宋_GB2312" w:hAnsi="Arial" w:eastAsia="仿宋_GB2312" w:cs="Arial"/>
          <w:color w:val="282828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282828"/>
          <w:sz w:val="32"/>
          <w:szCs w:val="32"/>
          <w:shd w:val="clear" w:color="auto" w:fill="FFFFFF"/>
        </w:rPr>
        <w:t>2、具有国家承认的全日制大学本科及以上文化程度（</w:t>
      </w:r>
      <w:r>
        <w:rPr>
          <w:rFonts w:hint="eastAsia" w:ascii="仿宋_GB2312" w:hAnsi="宋体" w:eastAsia="仿宋_GB2312" w:cs="宋体"/>
          <w:color w:val="282828"/>
          <w:kern w:val="0"/>
          <w:sz w:val="32"/>
          <w:szCs w:val="32"/>
          <w:shd w:val="clear" w:color="auto" w:fill="FFFFFF"/>
        </w:rPr>
        <w:t>个人学历信息需在学信网上能够查询到）</w:t>
      </w:r>
      <w:r>
        <w:rPr>
          <w:rFonts w:hint="eastAsia" w:ascii="仿宋_GB2312" w:hAnsi="Arial" w:eastAsia="仿宋_GB2312" w:cs="Arial"/>
          <w:color w:val="282828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rPr>
          <w:rFonts w:ascii="仿宋_GB2312" w:hAnsi="Arial" w:eastAsia="仿宋_GB2312" w:cs="Arial"/>
          <w:color w:val="282828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282828"/>
          <w:sz w:val="32"/>
          <w:szCs w:val="32"/>
          <w:shd w:val="clear" w:color="auto" w:fill="FFFFFF"/>
        </w:rPr>
        <w:t>3、有青岛市及青岛市所属各区、市常住户口。</w:t>
      </w:r>
    </w:p>
    <w:p>
      <w:pPr>
        <w:spacing w:line="600" w:lineRule="exact"/>
        <w:ind w:firstLine="640" w:firstLineChars="200"/>
        <w:rPr>
          <w:rFonts w:ascii="仿宋_GB2312" w:hAnsi="Arial" w:eastAsia="仿宋_GB2312" w:cs="Arial"/>
          <w:color w:val="282828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4、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遵纪守法，品行端正，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身</w:t>
      </w:r>
      <w:r>
        <w:rPr>
          <w:rFonts w:hint="eastAsia" w:ascii="仿宋_GB2312" w:hAnsi="Arial" w:eastAsia="仿宋_GB2312" w:cs="Arial"/>
          <w:color w:val="282828"/>
          <w:sz w:val="32"/>
          <w:szCs w:val="32"/>
          <w:shd w:val="clear" w:color="auto" w:fill="FFFFFF"/>
        </w:rPr>
        <w:t>体健康、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体检合格、</w:t>
      </w:r>
      <w:r>
        <w:rPr>
          <w:rFonts w:hint="eastAsia" w:ascii="仿宋_GB2312" w:hAnsi="Arial" w:eastAsia="仿宋_GB2312" w:cs="Arial"/>
          <w:color w:val="282828"/>
          <w:sz w:val="32"/>
          <w:szCs w:val="32"/>
          <w:shd w:val="clear" w:color="auto" w:fill="FFFFFF"/>
        </w:rPr>
        <w:t>五官端正、无残疾、无传染病史，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思想进步、品质优良、</w:t>
      </w:r>
      <w:r>
        <w:rPr>
          <w:rFonts w:hint="eastAsia" w:ascii="仿宋_GB2312" w:hAnsi="Arial" w:eastAsia="仿宋_GB2312" w:cs="Arial"/>
          <w:color w:val="282828"/>
          <w:sz w:val="32"/>
          <w:szCs w:val="32"/>
          <w:shd w:val="clear" w:color="auto" w:fill="FFFFFF"/>
        </w:rPr>
        <w:t>无纹身、无刑事犯罪史。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其中，部队复转军人参加招聘学历条件可放宽至</w:t>
      </w:r>
      <w:r>
        <w:rPr>
          <w:rFonts w:hint="eastAsia" w:ascii="仿宋_GB2312" w:hAnsi="Arial" w:eastAsia="仿宋_GB2312" w:cs="Arial"/>
          <w:color w:val="282828"/>
          <w:sz w:val="32"/>
          <w:szCs w:val="32"/>
          <w:shd w:val="clear" w:color="auto" w:fill="FFFFFF"/>
        </w:rPr>
        <w:t>国家承认的大学专科以上文化程度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18"/>
        </w:rPr>
      </w:pPr>
      <w:r>
        <w:rPr>
          <w:rFonts w:hint="eastAsia" w:ascii="仿宋_GB2312" w:eastAsia="仿宋_GB2312"/>
          <w:bCs/>
          <w:sz w:val="32"/>
          <w:szCs w:val="32"/>
        </w:rPr>
        <w:t>在读全日制普通高等院校学生、</w:t>
      </w:r>
      <w:r>
        <w:rPr>
          <w:rFonts w:ascii="仿宋_GB2312" w:eastAsia="仿宋_GB2312"/>
          <w:bCs/>
          <w:sz w:val="32"/>
          <w:szCs w:val="32"/>
        </w:rPr>
        <w:t>现役军人</w:t>
      </w:r>
      <w:r>
        <w:rPr>
          <w:rFonts w:hint="eastAsia" w:ascii="仿宋_GB2312" w:eastAsia="仿宋_GB2312"/>
          <w:bCs/>
          <w:sz w:val="32"/>
          <w:szCs w:val="32"/>
        </w:rPr>
        <w:t>、曾受过刑事处罚和</w:t>
      </w:r>
      <w:r>
        <w:rPr>
          <w:rFonts w:ascii="仿宋_GB2312" w:eastAsia="仿宋_GB2312"/>
          <w:bCs/>
          <w:sz w:val="32"/>
          <w:szCs w:val="32"/>
        </w:rPr>
        <w:t>被开除公职人员以及法律规定不得</w:t>
      </w:r>
      <w:r>
        <w:rPr>
          <w:rFonts w:hint="eastAsia" w:ascii="仿宋_GB2312" w:eastAsia="仿宋_GB2312"/>
          <w:bCs/>
          <w:sz w:val="32"/>
          <w:szCs w:val="32"/>
        </w:rPr>
        <w:t>应聘</w:t>
      </w:r>
      <w:r>
        <w:rPr>
          <w:rFonts w:ascii="仿宋_GB2312" w:eastAsia="仿宋_GB2312"/>
          <w:bCs/>
          <w:sz w:val="32"/>
          <w:szCs w:val="32"/>
        </w:rPr>
        <w:t>的其</w:t>
      </w:r>
      <w:r>
        <w:rPr>
          <w:rFonts w:hint="eastAsia" w:ascii="仿宋_GB2312" w:eastAsia="仿宋_GB2312"/>
          <w:bCs/>
          <w:sz w:val="32"/>
          <w:szCs w:val="32"/>
        </w:rPr>
        <w:t>它</w:t>
      </w:r>
      <w:r>
        <w:rPr>
          <w:rFonts w:ascii="仿宋_GB2312" w:eastAsia="仿宋_GB2312"/>
          <w:bCs/>
          <w:sz w:val="32"/>
          <w:szCs w:val="32"/>
        </w:rPr>
        <w:t>情形人员，</w:t>
      </w:r>
      <w:r>
        <w:rPr>
          <w:rFonts w:ascii="仿宋_GB2312" w:eastAsia="仿宋_GB2312"/>
          <w:sz w:val="32"/>
          <w:szCs w:val="18"/>
        </w:rPr>
        <w:t>不能报考。</w:t>
      </w:r>
    </w:p>
    <w:p>
      <w:pPr>
        <w:widowControl/>
        <w:spacing w:line="560" w:lineRule="exact"/>
        <w:ind w:firstLine="640" w:firstLineChars="200"/>
        <w:outlineLvl w:val="1"/>
        <w:rPr>
          <w:rFonts w:ascii="黑体" w:hAnsi="仿宋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Arial"/>
          <w:color w:val="000000"/>
          <w:kern w:val="0"/>
          <w:sz w:val="32"/>
          <w:szCs w:val="32"/>
        </w:rPr>
        <w:t>二、招聘程序</w:t>
      </w:r>
    </w:p>
    <w:p>
      <w:pPr>
        <w:widowControl/>
        <w:spacing w:line="560" w:lineRule="exact"/>
        <w:ind w:firstLine="643" w:firstLineChars="200"/>
        <w:outlineLvl w:val="1"/>
        <w:rPr>
          <w:rFonts w:ascii="楷体_GB2312" w:hAnsi="仿宋" w:eastAsia="楷体_GB2312" w:cs="Arial"/>
          <w:b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Arial"/>
          <w:b/>
          <w:color w:val="000000"/>
          <w:kern w:val="0"/>
          <w:sz w:val="32"/>
          <w:szCs w:val="32"/>
        </w:rPr>
        <w:t>（一）报名</w:t>
      </w:r>
    </w:p>
    <w:p>
      <w:pPr>
        <w:widowControl/>
        <w:shd w:val="clear" w:color="auto" w:fill="FFFFFF"/>
        <w:spacing w:line="560" w:lineRule="exact"/>
        <w:ind w:firstLine="592" w:firstLineChars="200"/>
        <w:jc w:val="left"/>
        <w:outlineLvl w:val="1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-12"/>
          <w:kern w:val="0"/>
          <w:sz w:val="32"/>
          <w:szCs w:val="32"/>
        </w:rPr>
        <w:t>1．考生登录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黄岛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区政务网</w:t>
      </w:r>
      <w:r>
        <w:rPr>
          <w:rFonts w:hint="eastAsia" w:ascii="仿宋_GB2312" w:hAnsi="仿宋" w:eastAsia="仿宋_GB2312" w:cs="Arial Unicode MS"/>
          <w:spacing w:val="-10"/>
          <w:kern w:val="0"/>
          <w:sz w:val="32"/>
          <w:szCs w:val="32"/>
        </w:rPr>
        <w:t>（http://www.huangdao.gov.cn/）、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，查看报考简章并下载打印《报名登记表》。</w:t>
      </w:r>
    </w:p>
    <w:p>
      <w:pPr>
        <w:widowControl/>
        <w:spacing w:line="560" w:lineRule="exact"/>
        <w:ind w:firstLine="640" w:firstLineChars="200"/>
        <w:outlineLvl w:val="1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2．报名时间：2017年8月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日-2017年8月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日（非工作日除外），上午9:00-11：30，下午1：30-5：00，逾期不再受理。</w:t>
      </w:r>
    </w:p>
    <w:p>
      <w:pPr>
        <w:widowControl/>
        <w:spacing w:line="560" w:lineRule="exact"/>
        <w:ind w:firstLine="640" w:firstLineChars="200"/>
        <w:outlineLvl w:val="1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3．报名地址：</w:t>
      </w:r>
    </w:p>
    <w:p>
      <w:pPr>
        <w:widowControl/>
        <w:spacing w:line="560" w:lineRule="exact"/>
        <w:ind w:firstLine="640" w:firstLineChars="200"/>
        <w:outlineLvl w:val="1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紫金山路劳动服务大厅（官厅市场南临）31-32窗口，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报名联系电话：0532-86600963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outlineLvl w:val="1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4．所需资料：</w:t>
      </w:r>
      <w:r>
        <w:rPr>
          <w:rFonts w:hint="eastAsia" w:ascii="仿宋_GB2312" w:eastAsia="仿宋_GB2312"/>
          <w:sz w:val="32"/>
          <w:szCs w:val="18"/>
        </w:rPr>
        <w:t>报考人员本人现场提交本人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身份证、毕业证、学位证原件及复印件各1份；学信网学历验证证书1份；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复转退伍军人需提供军人证件原件及复印件各一份；</w:t>
      </w:r>
      <w:r>
        <w:rPr>
          <w:rFonts w:hint="eastAsia" w:ascii="仿宋_GB2312" w:hAnsi="Arial" w:eastAsia="仿宋_GB2312" w:cs="Arial"/>
          <w:color w:val="282828"/>
          <w:sz w:val="32"/>
          <w:szCs w:val="32"/>
          <w:shd w:val="clear" w:color="auto" w:fill="FFFFFF"/>
        </w:rPr>
        <w:t>需提供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《报名登记表》（见附件）一式两份；近期一寸同底版彩色免冠照片6张（背面书写姓名）。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在职考生须向招聘单位提交所在单位同意报考的证明；</w:t>
      </w:r>
      <w:r>
        <w:rPr>
          <w:rFonts w:hint="eastAsia" w:ascii="仿宋_GB2312" w:eastAsia="仿宋_GB2312"/>
          <w:sz w:val="32"/>
          <w:szCs w:val="32"/>
        </w:rPr>
        <w:t>留学归国人员需提交国家教育部《国外学位学历认证书》。现场报名时收取报名费50元。</w:t>
      </w:r>
    </w:p>
    <w:p>
      <w:pPr>
        <w:widowControl/>
        <w:spacing w:line="560" w:lineRule="exact"/>
        <w:ind w:firstLine="620" w:firstLineChars="193"/>
        <w:outlineLvl w:val="1"/>
        <w:rPr>
          <w:rFonts w:ascii="楷体_GB2312" w:hAnsi="仿宋" w:eastAsia="楷体_GB2312" w:cs="Arial"/>
          <w:b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Arial"/>
          <w:b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仿宋" w:eastAsia="楷体_GB2312"/>
          <w:b/>
          <w:color w:val="000000"/>
          <w:sz w:val="32"/>
          <w:szCs w:val="32"/>
        </w:rPr>
        <w:t>二</w:t>
      </w:r>
      <w:r>
        <w:rPr>
          <w:rFonts w:hint="eastAsia" w:ascii="楷体_GB2312" w:hAnsi="仿宋" w:eastAsia="楷体_GB2312" w:cs="Arial"/>
          <w:b/>
          <w:color w:val="000000"/>
          <w:kern w:val="0"/>
          <w:sz w:val="32"/>
          <w:szCs w:val="32"/>
        </w:rPr>
        <w:t>）资格审查</w:t>
      </w:r>
    </w:p>
    <w:p>
      <w:pPr>
        <w:widowControl/>
        <w:spacing w:line="560" w:lineRule="exact"/>
        <w:ind w:firstLine="645"/>
        <w:outlineLvl w:val="1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对报考人员资格审查工作，贯穿整个招聘工作的全过程，如发现所提供资料有不实者或不符合报考要求的，取消报考或考试资格。因弃权或取消资格产生的空缺，按考试成绩依次递补。</w:t>
      </w:r>
    </w:p>
    <w:p>
      <w:pPr>
        <w:widowControl/>
        <w:spacing w:line="560" w:lineRule="exact"/>
        <w:ind w:firstLine="645"/>
        <w:outlineLvl w:val="1"/>
        <w:rPr>
          <w:rFonts w:ascii="楷体_GB2312" w:hAnsi="仿宋" w:eastAsia="楷体_GB2312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</w:rPr>
        <w:t>（三）考试</w:t>
      </w:r>
    </w:p>
    <w:p>
      <w:pPr>
        <w:widowControl/>
        <w:spacing w:line="560" w:lineRule="exact"/>
        <w:ind w:firstLine="645"/>
        <w:outlineLvl w:val="1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公开招聘考试工作由公司统一组织,考试分为笔试和面试。</w:t>
      </w:r>
    </w:p>
    <w:p>
      <w:pPr>
        <w:widowControl/>
        <w:spacing w:line="560" w:lineRule="exact"/>
        <w:ind w:firstLine="645"/>
        <w:outlineLvl w:val="1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笔试考试具体时间、地点见准考证，准考证领取时间、地点另行通知。笔试结束后根据考试成绩确定面试的范围并确定面试的时间、地点。</w:t>
      </w:r>
    </w:p>
    <w:p>
      <w:pPr>
        <w:widowControl/>
        <w:spacing w:line="560" w:lineRule="exact"/>
        <w:ind w:firstLine="645"/>
        <w:outlineLvl w:val="1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笔试考试内容分综合知识和专业知识两部分，综合知识考察考生的基本素质和能力，专业知识考察考生的综合</w:t>
      </w:r>
      <w:r>
        <w:rPr>
          <w:rFonts w:hint="eastAsia" w:ascii="仿宋_GB2312" w:hAnsi="仿宋" w:eastAsia="仿宋_GB2312"/>
          <w:spacing w:val="8"/>
          <w:sz w:val="32"/>
          <w:szCs w:val="32"/>
        </w:rPr>
        <w:t>行政执法知识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。综合知识考试不指定教材，专业知识考试范围为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《中华人民共和国行政处罚法》、《中华人民共和国行政复议法》和《中华人民共和国行政许可法》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、《中华人民共和国行政强制法》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面试考试内容不做指定。笔试结束后，按参加考试人数确定进入面试比例人数，笔试成绩和面试成绩各占总成绩的50%，两者累计相加为考生总成绩。报考人员具备以下条件的，可在考生总成绩的基础上进行加分，优先录取：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1.为中国共产党党员的加20分；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2.为部队复转退伍军人的加20分；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3.为法律专业毕业的加20分；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4.为公安高校毕业的加20分；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5.为211高校毕业的加20分；</w:t>
      </w:r>
    </w:p>
    <w:p>
      <w:pPr>
        <w:spacing w:line="600" w:lineRule="exact"/>
        <w:ind w:firstLine="63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6.参加全国计算机等级考试并取得4级以上证书的加20分。</w:t>
      </w:r>
    </w:p>
    <w:p>
      <w:pPr>
        <w:widowControl/>
        <w:spacing w:line="560" w:lineRule="exact"/>
        <w:ind w:firstLine="643" w:firstLineChars="200"/>
        <w:jc w:val="left"/>
        <w:outlineLvl w:val="1"/>
        <w:rPr>
          <w:rFonts w:ascii="楷体_GB2312" w:hAnsi="仿宋" w:eastAsia="楷体_GB2312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</w:rPr>
        <w:t>（四）体检</w:t>
      </w:r>
    </w:p>
    <w:p>
      <w:pPr>
        <w:pStyle w:val="4"/>
        <w:shd w:val="clear" w:color="auto" w:fill="FFFFFF"/>
        <w:spacing w:line="560" w:lineRule="exact"/>
        <w:ind w:firstLine="640" w:firstLineChars="200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根据考试成绩确定进入体检范围人选。对体检不合格人员造成的空缺，依照成绩排序，依次等额递补。</w:t>
      </w:r>
    </w:p>
    <w:p>
      <w:pPr>
        <w:pStyle w:val="4"/>
        <w:shd w:val="clear" w:color="auto" w:fill="FFFFFF"/>
        <w:spacing w:line="560" w:lineRule="exact"/>
        <w:ind w:firstLine="640" w:firstLineChars="200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体检工作由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公司</w:t>
      </w:r>
      <w:r>
        <w:rPr>
          <w:rFonts w:hint="eastAsia" w:ascii="仿宋_GB2312" w:hAnsi="ˎ̥" w:eastAsia="仿宋_GB2312"/>
          <w:sz w:val="32"/>
          <w:szCs w:val="32"/>
        </w:rPr>
        <w:t>统一组织，时间、地点另行通知。体检时，体检医生与体检者有回避关系的，应予回避。对于在体检过程中弄虚作假或隐瞒真实情况，致使体检结果失真的体检者，取消面试资格。体检费用自理。</w:t>
      </w:r>
    </w:p>
    <w:p>
      <w:pPr>
        <w:widowControl/>
        <w:spacing w:line="560" w:lineRule="exact"/>
        <w:ind w:firstLine="643" w:firstLineChars="200"/>
        <w:outlineLvl w:val="1"/>
        <w:rPr>
          <w:rFonts w:ascii="楷体_GB2312" w:hAnsi="仿宋" w:eastAsia="楷体_GB2312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</w:rPr>
        <w:t>（五）聘用及待遇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受聘人员统一安排到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黄岛区综合行政执法局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工作并按规定实行试用期制度，试用期满后与人力资源公司签订聘用合同。</w:t>
      </w:r>
      <w:r>
        <w:rPr>
          <w:rFonts w:hint="eastAsia" w:ascii="仿宋_GB2312" w:eastAsia="仿宋_GB2312" w:cs="仿宋_GB2312"/>
          <w:bCs/>
          <w:sz w:val="32"/>
          <w:szCs w:val="32"/>
        </w:rPr>
        <w:t>工资待遇参照黄岛区综合行政执法局同等人员薪酬标准执行</w:t>
      </w:r>
      <w:r>
        <w:rPr>
          <w:rFonts w:hint="eastAsia" w:ascii="仿宋_GB2312" w:hAnsi="Arial" w:eastAsia="仿宋_GB2312" w:cs="Arial"/>
          <w:color w:val="282828"/>
          <w:sz w:val="32"/>
          <w:szCs w:val="32"/>
          <w:shd w:val="clear" w:color="auto" w:fill="FFFFFF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 w:cs="Arial"/>
          <w:color w:val="000000"/>
          <w:kern w:val="0"/>
          <w:sz w:val="32"/>
          <w:szCs w:val="32"/>
        </w:rPr>
        <w:t>三、</w:t>
      </w:r>
      <w:r>
        <w:rPr>
          <w:rFonts w:hint="eastAsia" w:ascii="黑体" w:hAnsi="仿宋" w:eastAsia="黑体"/>
          <w:color w:val="000000"/>
          <w:sz w:val="32"/>
          <w:szCs w:val="32"/>
        </w:rPr>
        <w:t>其他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聘用人员必须服从统一分配。考生提供的信息必须真实准确，如发现录用人员提供虚假证明和信息，取消录取资格。考生在报考期间，应及时了解最新情况，因本人原因错过重要信息而影响考试聘用的，责任自负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附件：报名登记表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报名咨询电话：0532-86600963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440" w:firstLineChars="1700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2017年8月3日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left" w:tblpY="889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11"/>
        <w:gridCol w:w="196"/>
        <w:gridCol w:w="736"/>
        <w:gridCol w:w="682"/>
        <w:gridCol w:w="510"/>
        <w:gridCol w:w="904"/>
        <w:gridCol w:w="209"/>
        <w:gridCol w:w="1263"/>
        <w:gridCol w:w="360"/>
        <w:gridCol w:w="392"/>
        <w:gridCol w:w="148"/>
        <w:gridCol w:w="90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</w:trPr>
        <w:tc>
          <w:tcPr>
            <w:tcW w:w="777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证号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籍贯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专业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  <w:sz w:val="24"/>
              </w:rPr>
              <w:t>现工作单位</w:t>
            </w:r>
          </w:p>
        </w:tc>
        <w:tc>
          <w:tcPr>
            <w:tcW w:w="8096" w:type="dxa"/>
            <w:gridSpan w:val="11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资格、驾照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取得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证书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编号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1384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8096" w:type="dxa"/>
            <w:gridSpan w:val="11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7488" w:type="dxa"/>
            <w:gridSpan w:val="13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联系电话（必须提供手机号码，报名后请务必保持开机状态，且注意随时接听，号码变动请及时通知我们，否则一切后果自负）</w:t>
            </w:r>
          </w:p>
          <w:p>
            <w:pPr>
              <w:spacing w:line="32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</w:trPr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292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  <w:r>
              <w:rPr>
                <w:rFonts w:hint="eastAsia" w:ascii="仿宋_GB2312" w:eastAsia="仿宋_GB2312"/>
                <w:bCs/>
                <w:color w:val="FF0000"/>
                <w:szCs w:val="21"/>
              </w:rPr>
              <w:t>请选择是否可调剂其他岗位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FF0000"/>
                <w:szCs w:val="21"/>
              </w:rPr>
              <w:t>□可调剂     □ 不可调剂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Cs w:val="21"/>
              </w:rPr>
              <w:t>报考人签字：</w:t>
            </w:r>
          </w:p>
          <w:p>
            <w:pPr>
              <w:snapToGrid w:val="0"/>
              <w:spacing w:line="320" w:lineRule="atLeast"/>
              <w:ind w:firstLine="3000" w:firstLineChars="12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审查意见：</w:t>
            </w: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审查人：</w:t>
            </w: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960" w:firstLineChars="4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1320" w:firstLineChars="5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54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报名登记表</w:t>
      </w:r>
    </w:p>
    <w:p/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23405"/>
    <w:rsid w:val="0015589E"/>
    <w:rsid w:val="002910C9"/>
    <w:rsid w:val="002C303A"/>
    <w:rsid w:val="00372165"/>
    <w:rsid w:val="004A4C66"/>
    <w:rsid w:val="004F4BBF"/>
    <w:rsid w:val="00533AF8"/>
    <w:rsid w:val="006F27C1"/>
    <w:rsid w:val="007B7604"/>
    <w:rsid w:val="008174E9"/>
    <w:rsid w:val="00860D70"/>
    <w:rsid w:val="008635D0"/>
    <w:rsid w:val="008C4A0F"/>
    <w:rsid w:val="009748BC"/>
    <w:rsid w:val="00A53D49"/>
    <w:rsid w:val="00A95138"/>
    <w:rsid w:val="00BB0019"/>
    <w:rsid w:val="00C16E4F"/>
    <w:rsid w:val="01AE358A"/>
    <w:rsid w:val="0BF23405"/>
    <w:rsid w:val="20C15F19"/>
    <w:rsid w:val="2C8E6421"/>
    <w:rsid w:val="2E1A09D5"/>
    <w:rsid w:val="47785591"/>
    <w:rsid w:val="4BBC3CBB"/>
    <w:rsid w:val="4DAE7DEA"/>
    <w:rsid w:val="4E3522E2"/>
    <w:rsid w:val="665E60F9"/>
    <w:rsid w:val="7465794D"/>
    <w:rsid w:val="77E00160"/>
    <w:rsid w:val="78FF0F2C"/>
    <w:rsid w:val="7A3A4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316</Words>
  <Characters>1805</Characters>
  <Lines>15</Lines>
  <Paragraphs>4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2017-08-03T05:42:00Z</dcterms:created>
  <dc:creator>Administrator</dc:creator>
  <cp:lastModifiedBy>Administrator</cp:lastModifiedBy>
  <cp:lastPrinted>2017-08-03T09:04:00Z</cp:lastPrinted>
  <dcterms:modified xsi:type="dcterms:W3CDTF">2017-08-07T09:07:53Z</dcterms:modified>
  <dc:title>黄岛区金沙滩景区协管员招聘简章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