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t>金融知识备考必看</w:t>
      </w:r>
      <w:r>
        <w:rPr>
          <w:rFonts w:hint="eastAsia"/>
        </w:rPr>
        <w:t>（一）</w:t>
      </w:r>
    </w:p>
    <w:p>
      <w:pPr>
        <w:ind w:firstLine="420" w:firstLineChars="200"/>
      </w:pPr>
      <w:r>
        <w:t>在分析了四川农信社真题之后</w:t>
      </w:r>
      <w:r>
        <w:rPr>
          <w:rFonts w:hint="eastAsia"/>
        </w:rPr>
        <w:t>，</w:t>
      </w:r>
      <w:r>
        <w:t>我们可以发现</w:t>
      </w:r>
      <w:r>
        <w:rPr>
          <w:rFonts w:hint="eastAsia"/>
        </w:rPr>
        <w:t>，金融知识相对于经济知识来说所占比重很大，可以说占据了经济金融知识的半壁江山。下面，我们就来为大家整理了一些四川农信社考试中金融学中重要的考点。</w:t>
      </w:r>
    </w:p>
    <w:p>
      <w:pPr>
        <w:pStyle w:val="3"/>
        <w:jc w:val="center"/>
      </w:pPr>
      <w:r>
        <w:rPr>
          <w:rFonts w:hint="eastAsia"/>
        </w:rPr>
        <w:t>第一章 货币与货币制度</w:t>
      </w:r>
    </w:p>
    <w:tbl>
      <w:tblPr>
        <w:tblStyle w:val="7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4"/>
        <w:gridCol w:w="1876"/>
        <w:gridCol w:w="34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852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黑体"/>
                <w:color w:val="00B050"/>
              </w:rPr>
            </w:pPr>
            <w:r>
              <w:rPr>
                <w:rFonts w:hint="eastAsia" w:hAnsi="微软雅黑"/>
                <w:color w:val="00B050"/>
                <w:szCs w:val="28"/>
              </w:rPr>
              <w:t>考点一、货币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黑体"/>
                <w:color w:val="00B050"/>
              </w:rPr>
            </w:pPr>
            <w:r>
              <w:rPr>
                <w:rFonts w:hint="eastAsia" w:hAnsi="宋体" w:cs="黑体"/>
                <w:color w:val="00B050"/>
              </w:rPr>
              <w:t>货币的本质</w:t>
            </w:r>
            <w:r>
              <w:rPr>
                <w:rFonts w:hint="eastAsia" w:cs="黑体"/>
                <w:color w:val="00B050"/>
              </w:rPr>
              <w:t xml:space="preserve"> </w:t>
            </w:r>
          </w:p>
        </w:tc>
        <w:tc>
          <w:tcPr>
            <w:tcW w:w="5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黑体"/>
                <w:color w:val="00B050"/>
              </w:rPr>
            </w:pPr>
            <w:r>
              <w:rPr>
                <w:rFonts w:hint="eastAsia" w:hAnsi="宋体" w:cs="黑体"/>
                <w:color w:val="00B050"/>
              </w:rPr>
              <w:t>固定充当一般等价物的特殊商品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3194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cs="黑体"/>
                <w:color w:val="00B050"/>
              </w:rPr>
            </w:pPr>
            <w:r>
              <w:rPr>
                <w:rFonts w:hint="eastAsia" w:hAnsi="宋体" w:cs="黑体"/>
                <w:color w:val="00B050"/>
              </w:rPr>
              <w:t>货币的职能</w:t>
            </w:r>
          </w:p>
        </w:tc>
        <w:tc>
          <w:tcPr>
            <w:tcW w:w="1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ind w:firstLine="105" w:firstLineChars="50"/>
              <w:rPr>
                <w:rFonts w:cs="黑体"/>
                <w:color w:val="00B050"/>
              </w:rPr>
            </w:pPr>
            <w:r>
              <w:rPr>
                <w:rFonts w:hint="eastAsia" w:hAnsi="宋体" w:cs="黑体"/>
                <w:color w:val="00B050"/>
              </w:rPr>
              <w:t>货币层次的划分</w:t>
            </w:r>
          </w:p>
        </w:tc>
        <w:tc>
          <w:tcPr>
            <w:tcW w:w="345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630" w:firstLineChars="300"/>
              <w:rPr>
                <w:rFonts w:cs="黑体"/>
                <w:color w:val="00B050"/>
              </w:rPr>
            </w:pPr>
          </w:p>
          <w:p>
            <w:pPr>
              <w:autoSpaceDE w:val="0"/>
              <w:autoSpaceDN w:val="0"/>
              <w:ind w:firstLine="630" w:firstLineChars="300"/>
              <w:rPr>
                <w:rFonts w:cs="黑体"/>
                <w:color w:val="00B050"/>
              </w:rPr>
            </w:pPr>
            <w:r>
              <w:rPr>
                <w:color w:val="00B05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79375</wp:posOffset>
                      </wp:positionV>
                      <wp:extent cx="235585" cy="638810"/>
                      <wp:effectExtent l="0" t="0" r="12065" b="27940"/>
                      <wp:wrapNone/>
                      <wp:docPr id="9245" name="左大括号 9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35585" cy="638810"/>
                              </a:xfrm>
                              <a:prstGeom prst="leftBrace">
                                <a:avLst>
                                  <a:gd name="adj1" fmla="val 2259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7" type="#_x0000_t87" style="position:absolute;left:0pt;margin-left:7.5pt;margin-top:6.25pt;height:50.3pt;width:18.55pt;z-index:251659264;mso-width-relative:page;mso-height-relative:page;" filled="f" stroked="t" coordsize="21600,21600" o:gfxdata="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WOvcV9gAAAAIAQAADwAAAAAAAAABACAAAAAiAAAAZHJzL2Rvd25yZXYueG1sUEsBAhQAFAAAAAgA&#10;h07iQMLUT30lAgAAHAQAAA4AAAAAAAAAAQAgAAAAJwEAAGRycy9lMm9Eb2MueG1sUEsFBgAAAAAG&#10;AAYAWQEAAL4FAAAAAA==&#10;" adj="1800,10800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cs="黑体"/>
                <w:color w:val="00B050"/>
              </w:rPr>
              <w:t>M0</w:t>
            </w:r>
            <w:r>
              <w:rPr>
                <w:rFonts w:hint="eastAsia" w:cs="黑体"/>
                <w:color w:val="00B050"/>
              </w:rPr>
              <w:t>=</w:t>
            </w:r>
            <w:r>
              <w:rPr>
                <w:rFonts w:hint="eastAsia" w:hAnsi="宋体" w:cs="黑体"/>
                <w:color w:val="00B050"/>
              </w:rPr>
              <w:t>流通中现金</w:t>
            </w:r>
          </w:p>
          <w:p>
            <w:pPr>
              <w:autoSpaceDE w:val="0"/>
              <w:autoSpaceDN w:val="0"/>
              <w:ind w:firstLine="630" w:firstLineChars="300"/>
              <w:rPr>
                <w:rFonts w:cs="黑体"/>
                <w:color w:val="00B050"/>
              </w:rPr>
            </w:pPr>
            <w:r>
              <w:rPr>
                <w:rFonts w:cs="黑体"/>
                <w:color w:val="00B050"/>
              </w:rPr>
              <w:t>M1=M0</w:t>
            </w:r>
            <w:r>
              <w:rPr>
                <w:rFonts w:hint="eastAsia" w:cs="黑体"/>
                <w:color w:val="00B050"/>
              </w:rPr>
              <w:t>+</w:t>
            </w:r>
            <w:r>
              <w:rPr>
                <w:rFonts w:hint="eastAsia" w:hAnsi="宋体" w:cs="黑体"/>
                <w:color w:val="00B050"/>
              </w:rPr>
              <w:t>活期存款</w:t>
            </w:r>
          </w:p>
          <w:p>
            <w:pPr>
              <w:ind w:firstLine="420" w:firstLineChars="200"/>
              <w:jc w:val="center"/>
              <w:rPr>
                <w:rFonts w:cs="黑体"/>
                <w:color w:val="00B050"/>
              </w:rPr>
            </w:pPr>
            <w:r>
              <w:rPr>
                <w:rFonts w:hint="eastAsia" w:cs="黑体"/>
                <w:color w:val="00B050"/>
              </w:rPr>
              <w:t xml:space="preserve"> </w:t>
            </w:r>
            <w:r>
              <w:rPr>
                <w:rFonts w:cs="黑体"/>
                <w:color w:val="00B050"/>
              </w:rPr>
              <w:t>M2=M1</w:t>
            </w:r>
            <w:r>
              <w:rPr>
                <w:rFonts w:hint="eastAsia" w:cs="黑体"/>
                <w:color w:val="00B050"/>
              </w:rPr>
              <w:t>+</w:t>
            </w:r>
            <w:r>
              <w:rPr>
                <w:rFonts w:hint="eastAsia" w:hAnsi="宋体" w:cs="黑体"/>
                <w:color w:val="00B050"/>
              </w:rPr>
              <w:t>储蓄存款和定期存款</w:t>
            </w:r>
          </w:p>
          <w:p>
            <w:pPr>
              <w:pStyle w:val="11"/>
              <w:ind w:firstLine="630" w:firstLineChars="300"/>
              <w:rPr>
                <w:rFonts w:cs="宋体"/>
                <w:bCs/>
                <w:color w:val="00B050"/>
                <w:sz w:val="21"/>
                <w:szCs w:val="24"/>
              </w:rPr>
            </w:pPr>
            <w:r>
              <w:rPr>
                <w:rFonts w:cs="黑体"/>
                <w:color w:val="00B050"/>
                <w:sz w:val="21"/>
              </w:rPr>
              <w:t>M2-M1</w:t>
            </w:r>
            <w:r>
              <w:rPr>
                <w:rFonts w:hint="eastAsia" w:cs="黑体"/>
                <w:color w:val="00B050"/>
                <w:sz w:val="21"/>
              </w:rPr>
              <w:t>=</w:t>
            </w:r>
            <w:r>
              <w:rPr>
                <w:rFonts w:hint="eastAsia" w:hAnsi="宋体" w:cs="黑体"/>
                <w:color w:val="00B050"/>
                <w:sz w:val="21"/>
              </w:rPr>
              <w:t>准货币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3194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cs="黑体"/>
                <w:color w:val="00B050"/>
              </w:rPr>
            </w:pPr>
            <w:r>
              <w:rPr>
                <w:rFonts w:hint="eastAsia" w:cs="黑体"/>
                <w:color w:val="00B050"/>
              </w:rPr>
              <w:t>1</w:t>
            </w:r>
            <w:r>
              <w:rPr>
                <w:rFonts w:hint="eastAsia" w:hAnsi="宋体" w:cs="黑体"/>
                <w:color w:val="00B050"/>
              </w:rPr>
              <w:t>、价值尺度</w:t>
            </w:r>
          </w:p>
          <w:p>
            <w:pPr>
              <w:jc w:val="center"/>
              <w:rPr>
                <w:rFonts w:cs="黑体"/>
                <w:color w:val="00B050"/>
              </w:rPr>
            </w:pPr>
            <w:r>
              <w:rPr>
                <w:rFonts w:hint="eastAsia" w:cs="黑体"/>
                <w:color w:val="00B050"/>
              </w:rPr>
              <w:t>2</w:t>
            </w:r>
            <w:r>
              <w:rPr>
                <w:rFonts w:hint="eastAsia" w:hAnsi="宋体" w:cs="黑体"/>
                <w:color w:val="00B050"/>
              </w:rPr>
              <w:t>、流通手段</w:t>
            </w:r>
          </w:p>
          <w:p>
            <w:pPr>
              <w:jc w:val="center"/>
              <w:rPr>
                <w:rFonts w:cs="黑体"/>
                <w:color w:val="00B050"/>
              </w:rPr>
            </w:pPr>
            <w:r>
              <w:rPr>
                <w:rFonts w:hint="eastAsia" w:cs="黑体"/>
                <w:color w:val="00B050"/>
              </w:rPr>
              <w:t>3</w:t>
            </w:r>
            <w:r>
              <w:rPr>
                <w:rFonts w:hint="eastAsia" w:hAnsi="宋体" w:cs="黑体"/>
                <w:color w:val="00B050"/>
              </w:rPr>
              <w:t>、支付手段</w:t>
            </w:r>
          </w:p>
          <w:p>
            <w:pPr>
              <w:jc w:val="center"/>
              <w:rPr>
                <w:rFonts w:cs="黑体"/>
                <w:color w:val="00B050"/>
              </w:rPr>
            </w:pPr>
            <w:r>
              <w:rPr>
                <w:rFonts w:hint="eastAsia" w:cs="黑体"/>
                <w:color w:val="00B050"/>
              </w:rPr>
              <w:t>4</w:t>
            </w:r>
            <w:r>
              <w:rPr>
                <w:rFonts w:hint="eastAsia" w:hAnsi="宋体" w:cs="黑体"/>
                <w:color w:val="00B050"/>
              </w:rPr>
              <w:t>、储藏手段</w:t>
            </w:r>
          </w:p>
          <w:p>
            <w:pPr>
              <w:jc w:val="center"/>
              <w:rPr>
                <w:rFonts w:cs="黑体"/>
                <w:color w:val="00B050"/>
              </w:rPr>
            </w:pPr>
            <w:r>
              <w:rPr>
                <w:rFonts w:hint="eastAsia" w:cs="黑体"/>
                <w:color w:val="00B050"/>
              </w:rPr>
              <w:t>5</w:t>
            </w:r>
            <w:r>
              <w:rPr>
                <w:rFonts w:hint="eastAsia" w:hAnsi="宋体" w:cs="黑体"/>
                <w:color w:val="00B050"/>
              </w:rPr>
              <w:t>、世界货币</w:t>
            </w:r>
          </w:p>
        </w:tc>
        <w:tc>
          <w:tcPr>
            <w:tcW w:w="18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cs="黑体"/>
                <w:color w:val="00B050"/>
              </w:rPr>
            </w:pPr>
          </w:p>
        </w:tc>
        <w:tc>
          <w:tcPr>
            <w:tcW w:w="34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cs="黑体"/>
                <w:color w:val="00B05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852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黑体"/>
                <w:color w:val="00B050"/>
              </w:rPr>
            </w:pPr>
            <w:r>
              <w:rPr>
                <w:rFonts w:hint="eastAsia" w:hAnsi="微软雅黑"/>
                <w:color w:val="00B050"/>
                <w:szCs w:val="28"/>
              </w:rPr>
              <w:t>考点二、货币制度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</w:trPr>
        <w:tc>
          <w:tcPr>
            <w:tcW w:w="319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黑体"/>
                <w:color w:val="00B050"/>
              </w:rPr>
            </w:pPr>
            <w:r>
              <w:rPr>
                <w:rFonts w:hint="eastAsia" w:hAnsi="宋体" w:cs="黑体"/>
                <w:color w:val="00B050"/>
              </w:rPr>
              <w:t>货币制度的内容</w:t>
            </w:r>
          </w:p>
        </w:tc>
        <w:tc>
          <w:tcPr>
            <w:tcW w:w="5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cs="黑体"/>
                <w:color w:val="00B050"/>
              </w:rPr>
            </w:pPr>
            <w:r>
              <w:rPr>
                <w:rFonts w:hint="eastAsia" w:cs="黑体"/>
                <w:color w:val="00B050"/>
              </w:rPr>
              <w:t>1</w:t>
            </w:r>
            <w:r>
              <w:rPr>
                <w:rFonts w:hint="eastAsia" w:hAnsi="宋体" w:cs="黑体"/>
                <w:color w:val="00B050"/>
              </w:rPr>
              <w:t>、规定货币材料（最重要的）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</w:trPr>
        <w:tc>
          <w:tcPr>
            <w:tcW w:w="3194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cs="黑体"/>
                <w:color w:val="00B050"/>
              </w:rPr>
            </w:pPr>
          </w:p>
        </w:tc>
        <w:tc>
          <w:tcPr>
            <w:tcW w:w="5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cs="黑体"/>
                <w:color w:val="00B050"/>
              </w:rPr>
            </w:pPr>
            <w:r>
              <w:rPr>
                <w:rFonts w:hint="eastAsia" w:cs="黑体"/>
                <w:color w:val="00B050"/>
              </w:rPr>
              <w:t>2</w:t>
            </w:r>
            <w:r>
              <w:rPr>
                <w:rFonts w:hint="eastAsia" w:hAnsi="宋体" w:cs="黑体"/>
                <w:color w:val="00B050"/>
              </w:rPr>
              <w:t>、规定货币单位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</w:trPr>
        <w:tc>
          <w:tcPr>
            <w:tcW w:w="3194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cs="黑体"/>
                <w:color w:val="00B050"/>
              </w:rPr>
            </w:pPr>
          </w:p>
        </w:tc>
        <w:tc>
          <w:tcPr>
            <w:tcW w:w="5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cs="黑体"/>
                <w:color w:val="00B050"/>
              </w:rPr>
            </w:pPr>
            <w:r>
              <w:rPr>
                <w:rFonts w:hint="eastAsia" w:cs="黑体"/>
                <w:color w:val="00B050"/>
              </w:rPr>
              <w:t>3</w:t>
            </w:r>
            <w:r>
              <w:rPr>
                <w:rFonts w:hint="eastAsia" w:hAnsi="宋体" w:cs="黑体"/>
                <w:color w:val="00B050"/>
              </w:rPr>
              <w:t>、规定本位币和辅币的铸造发行和流通程序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</w:trPr>
        <w:tc>
          <w:tcPr>
            <w:tcW w:w="3194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cs="黑体"/>
                <w:color w:val="00B050"/>
              </w:rPr>
            </w:pPr>
          </w:p>
        </w:tc>
        <w:tc>
          <w:tcPr>
            <w:tcW w:w="5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cs="黑体"/>
                <w:color w:val="00B050"/>
              </w:rPr>
            </w:pPr>
            <w:r>
              <w:rPr>
                <w:rFonts w:hint="eastAsia" w:cs="黑体"/>
                <w:color w:val="00B050"/>
              </w:rPr>
              <w:t>4</w:t>
            </w:r>
            <w:r>
              <w:rPr>
                <w:rFonts w:hint="eastAsia" w:hAnsi="宋体" w:cs="黑体"/>
                <w:color w:val="00B050"/>
              </w:rPr>
              <w:t>、有限法偿和无限法偿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</w:trPr>
        <w:tc>
          <w:tcPr>
            <w:tcW w:w="3194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cs="黑体"/>
                <w:color w:val="00B050"/>
              </w:rPr>
            </w:pPr>
          </w:p>
        </w:tc>
        <w:tc>
          <w:tcPr>
            <w:tcW w:w="5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cs="黑体"/>
                <w:color w:val="00B050"/>
              </w:rPr>
            </w:pPr>
            <w:r>
              <w:rPr>
                <w:rFonts w:hint="eastAsia" w:cs="黑体"/>
                <w:color w:val="00B050"/>
              </w:rPr>
              <w:t>5</w:t>
            </w:r>
            <w:r>
              <w:rPr>
                <w:rFonts w:hint="eastAsia" w:hAnsi="宋体" w:cs="黑体"/>
                <w:color w:val="00B050"/>
              </w:rPr>
              <w:t>、金准备制度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</w:trPr>
        <w:tc>
          <w:tcPr>
            <w:tcW w:w="8522" w:type="dxa"/>
            <w:gridSpan w:val="3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cs="黑体"/>
                <w:color w:val="00B050"/>
              </w:rPr>
            </w:pPr>
            <w:r>
              <w:rPr>
                <w:rFonts w:hint="eastAsia" w:hAnsi="宋体" w:cs="黑体"/>
                <w:color w:val="00B050"/>
              </w:rPr>
              <w:t>货币制度的发展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atLeast"/>
        </w:trPr>
        <w:tc>
          <w:tcPr>
            <w:tcW w:w="8522" w:type="dxa"/>
            <w:gridSpan w:val="3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cs="黑体"/>
                <w:color w:val="00B050"/>
              </w:rPr>
            </w:pPr>
            <w:r>
              <w:rPr>
                <w:color w:val="00B05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3550285</wp:posOffset>
                      </wp:positionH>
                      <wp:positionV relativeFrom="paragraph">
                        <wp:posOffset>26035</wp:posOffset>
                      </wp:positionV>
                      <wp:extent cx="945515" cy="152400"/>
                      <wp:effectExtent l="0" t="19050" r="45085" b="38100"/>
                      <wp:wrapNone/>
                      <wp:docPr id="9244" name="右箭头 9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5515" cy="1524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5510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279.55pt;margin-top:2.05pt;height:12pt;width:74.45pt;z-index:251662336;mso-width-relative:page;mso-height-relative:page;" fillcolor="#FFFFFF" filled="t" stroked="t" coordsize="21600,21600" o:gfxdata="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p+zfpNoAAAAIAQAADwAAAAAAAAABACAAAAAiAAAA&#10;ZHJzL2Rvd25yZXYueG1sUEsBAhQAFAAAAAgAh07iQAAVjUE+AgAAgQQAAA4AAAAAAAAAAQAgAAAA&#10;KQEAAGRycy9lMm9Eb2MueG1sUEsFBgAAAAAGAAYAWQEAANkFAAAAAA==&#10;" adj="16201,5400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B05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2121535</wp:posOffset>
                      </wp:positionH>
                      <wp:positionV relativeFrom="paragraph">
                        <wp:posOffset>26035</wp:posOffset>
                      </wp:positionV>
                      <wp:extent cx="945515" cy="152400"/>
                      <wp:effectExtent l="0" t="19050" r="45085" b="38100"/>
                      <wp:wrapNone/>
                      <wp:docPr id="9243" name="右箭头 9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5515" cy="1524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5510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167.05pt;margin-top:2.05pt;height:12pt;width:74.45pt;z-index:251661312;mso-width-relative:page;mso-height-relative:page;" fillcolor="#FFFFFF" filled="t" stroked="t" coordsize="21600,21600" o:gfxdata="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oXTnt2QAAAAgBAAAPAAAAAAAAAAEAIAAAACIAAABk&#10;cnMvZG93bnJldi54bWxQSwECFAAUAAAACACHTuJA4o205T4CAACBBAAADgAAAAAAAAABACAAAAAo&#10;AQAAZHJzL2Uyb0RvYy54bWxQSwUGAAAAAAYABgBZAQAA2AUAAAAA&#10;" adj="16201,5400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B05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26035</wp:posOffset>
                      </wp:positionV>
                      <wp:extent cx="942975" cy="152400"/>
                      <wp:effectExtent l="0" t="19050" r="47625" b="38100"/>
                      <wp:wrapNone/>
                      <wp:docPr id="9242" name="右箭头 9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1524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5468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37.5pt;margin-top:2.05pt;height:12pt;width:74.25pt;z-index:251660288;mso-width-relative:page;mso-height-relative:page;" fillcolor="#FFFFFF" filled="t" stroked="t" coordsize="21600,21600" o:gfxdata="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Of90w1gAAAAcBAAAPAAAAAAAAAAEAIAAAACIAAABk&#10;cnMvZG93bnJldi54bWxQSwECFAAUAAAACACHTuJAJB1shEECAACBBAAADgAAAAAAAAABACAAAAAl&#10;AQAAZHJzL2Uyb0RvYy54bWxQSwUGAAAAAAYABgBZAQAA2AUAAAAA&#10;" adj="16200,5400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hAnsi="宋体" w:cs="黑体"/>
                <w:color w:val="00B050"/>
              </w:rPr>
              <w:t>银本位</w:t>
            </w:r>
            <w:r>
              <w:rPr>
                <w:rFonts w:hint="eastAsia" w:cs="黑体"/>
                <w:color w:val="00B050"/>
              </w:rPr>
              <w:t xml:space="preserve">                </w:t>
            </w:r>
            <w:r>
              <w:rPr>
                <w:rFonts w:hint="eastAsia" w:hAnsi="宋体" w:cs="黑体"/>
                <w:color w:val="00B050"/>
              </w:rPr>
              <w:t>金银复本位</w:t>
            </w:r>
            <w:r>
              <w:rPr>
                <w:rFonts w:hint="eastAsia" w:cs="黑体"/>
                <w:color w:val="00B050"/>
              </w:rPr>
              <w:t xml:space="preserve">               </w:t>
            </w:r>
            <w:r>
              <w:rPr>
                <w:rFonts w:hint="eastAsia" w:hAnsi="宋体" w:cs="黑体"/>
                <w:color w:val="00B050"/>
              </w:rPr>
              <w:t>金本位</w:t>
            </w:r>
            <w:r>
              <w:rPr>
                <w:rFonts w:hint="eastAsia" w:cs="黑体"/>
                <w:color w:val="00B050"/>
              </w:rPr>
              <w:t xml:space="preserve">               </w:t>
            </w:r>
            <w:r>
              <w:rPr>
                <w:rFonts w:hint="eastAsia" w:hAnsi="宋体" w:cs="黑体"/>
                <w:color w:val="00B050"/>
              </w:rPr>
              <w:t>信用本位制</w:t>
            </w:r>
          </w:p>
          <w:p>
            <w:pPr>
              <w:autoSpaceDE w:val="0"/>
              <w:autoSpaceDN w:val="0"/>
              <w:ind w:firstLine="1995" w:firstLineChars="950"/>
              <w:rPr>
                <w:rFonts w:cs="黑体"/>
                <w:color w:val="00B050"/>
              </w:rPr>
            </w:pPr>
            <w:r>
              <w:rPr>
                <w:rFonts w:hint="eastAsia" w:cs="黑体"/>
                <w:color w:val="00B050"/>
              </w:rPr>
              <w:t>1</w:t>
            </w:r>
            <w:r>
              <w:rPr>
                <w:rFonts w:hint="eastAsia" w:hAnsi="宋体" w:cs="黑体"/>
                <w:color w:val="00B050"/>
              </w:rPr>
              <w:t>、平行本位制</w:t>
            </w:r>
            <w:r>
              <w:rPr>
                <w:rFonts w:hint="eastAsia" w:cs="黑体"/>
                <w:color w:val="00B050"/>
              </w:rPr>
              <w:t xml:space="preserve">             1</w:t>
            </w:r>
            <w:r>
              <w:rPr>
                <w:rFonts w:hint="eastAsia" w:hAnsi="宋体" w:cs="黑体"/>
                <w:color w:val="00B050"/>
              </w:rPr>
              <w:t>、金币本位制</w:t>
            </w:r>
          </w:p>
          <w:p>
            <w:pPr>
              <w:autoSpaceDE w:val="0"/>
              <w:autoSpaceDN w:val="0"/>
              <w:ind w:firstLine="1995" w:firstLineChars="950"/>
              <w:rPr>
                <w:rFonts w:cs="黑体"/>
                <w:color w:val="00B050"/>
              </w:rPr>
            </w:pPr>
            <w:r>
              <w:rPr>
                <w:rFonts w:hint="eastAsia" w:cs="黑体"/>
                <w:color w:val="00B050"/>
              </w:rPr>
              <w:t>2</w:t>
            </w:r>
            <w:r>
              <w:rPr>
                <w:rFonts w:hint="eastAsia" w:hAnsi="宋体" w:cs="黑体"/>
                <w:color w:val="00B050"/>
              </w:rPr>
              <w:t>、双本位制（格雷欣法则）</w:t>
            </w:r>
            <w:r>
              <w:rPr>
                <w:rFonts w:hint="eastAsia" w:cs="黑体"/>
                <w:color w:val="00B050"/>
              </w:rPr>
              <w:t xml:space="preserve"> 2</w:t>
            </w:r>
            <w:r>
              <w:rPr>
                <w:rFonts w:hint="eastAsia" w:hAnsi="宋体" w:cs="黑体"/>
                <w:color w:val="00B050"/>
              </w:rPr>
              <w:t>、金块本位制</w:t>
            </w:r>
          </w:p>
          <w:p>
            <w:pPr>
              <w:autoSpaceDE w:val="0"/>
              <w:autoSpaceDN w:val="0"/>
              <w:ind w:firstLine="1995" w:firstLineChars="950"/>
              <w:rPr>
                <w:rFonts w:cs="黑体"/>
                <w:color w:val="00B050"/>
              </w:rPr>
            </w:pPr>
            <w:r>
              <w:rPr>
                <w:rFonts w:hint="eastAsia" w:cs="黑体"/>
                <w:color w:val="00B050"/>
              </w:rPr>
              <w:t>3</w:t>
            </w:r>
            <w:r>
              <w:rPr>
                <w:rFonts w:hint="eastAsia" w:hAnsi="宋体" w:cs="黑体"/>
                <w:color w:val="00B050"/>
              </w:rPr>
              <w:t>、跛行本位制</w:t>
            </w:r>
            <w:r>
              <w:rPr>
                <w:rFonts w:hint="eastAsia" w:cs="黑体"/>
                <w:color w:val="00B050"/>
              </w:rPr>
              <w:t xml:space="preserve">             3</w:t>
            </w:r>
            <w:r>
              <w:rPr>
                <w:rFonts w:hint="eastAsia" w:hAnsi="宋体" w:cs="黑体"/>
                <w:color w:val="00B050"/>
              </w:rPr>
              <w:t>、金汇兑本位制</w:t>
            </w:r>
          </w:p>
        </w:tc>
      </w:tr>
    </w:tbl>
    <w:p>
      <w:pPr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【2015四川农信社柜员岗·真题】</w:t>
      </w:r>
    </w:p>
    <w:p>
      <w:pPr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1.货币发挥支付手段的职能表现在（  ）。（多选）</w:t>
      </w:r>
    </w:p>
    <w:p>
      <w:pPr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A.税款交纳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B.货款发放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C.工资发放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D.饭馆就餐付款</w:t>
      </w:r>
    </w:p>
    <w:p>
      <w:pPr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【答案】ABC</w:t>
      </w:r>
    </w:p>
    <w:p>
      <w:pPr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【解析】税款交纳、货款发放、工资发放都是支付手段。饭馆就餐付款是流通手段。</w:t>
      </w:r>
    </w:p>
    <w:p>
      <w:pPr>
        <w:pStyle w:val="3"/>
        <w:jc w:val="center"/>
      </w:pPr>
      <w:bookmarkStart w:id="0" w:name="_Toc28201"/>
      <w:bookmarkStart w:id="1" w:name="_Toc404497458"/>
      <w:r>
        <w:rPr>
          <w:rFonts w:hint="eastAsia"/>
        </w:rPr>
        <w:t>第二章 信用、利息与利率</w:t>
      </w:r>
      <w:bookmarkEnd w:id="0"/>
      <w:bookmarkEnd w:id="1"/>
    </w:p>
    <w:p/>
    <w:tbl>
      <w:tblPr>
        <w:tblStyle w:val="7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843"/>
        <w:gridCol w:w="1034"/>
        <w:gridCol w:w="1801"/>
        <w:gridCol w:w="2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5"/>
          </w:tcPr>
          <w:p>
            <w:pPr>
              <w:pStyle w:val="15"/>
              <w:rPr>
                <w:rFonts w:ascii="Times New Roman" w:eastAsia="宋体" w:cs="黑体"/>
                <w:color w:val="00B050"/>
                <w:sz w:val="21"/>
                <w:szCs w:val="21"/>
              </w:rPr>
            </w:pPr>
            <w:r>
              <w:rPr>
                <w:rFonts w:hint="eastAsia" w:ascii="Times New Roman" w:eastAsia="宋体"/>
                <w:color w:val="00B050"/>
                <w:sz w:val="21"/>
              </w:rPr>
              <w:t>考点一、信用和信用工具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4" w:type="dxa"/>
            <w:vAlign w:val="center"/>
          </w:tcPr>
          <w:p>
            <w:pPr>
              <w:pStyle w:val="13"/>
              <w:spacing w:line="380" w:lineRule="exact"/>
              <w:jc w:val="left"/>
              <w:rPr>
                <w:rFonts w:cs="宋体"/>
                <w:color w:val="00B050"/>
                <w:szCs w:val="21"/>
              </w:rPr>
            </w:pPr>
            <w:r>
              <w:rPr>
                <w:rFonts w:hint="eastAsia" w:hAnsi="宋体" w:cs="宋体"/>
                <w:color w:val="00B050"/>
                <w:szCs w:val="21"/>
              </w:rPr>
              <w:t>定义</w:t>
            </w:r>
          </w:p>
        </w:tc>
        <w:tc>
          <w:tcPr>
            <w:tcW w:w="7138" w:type="dxa"/>
            <w:gridSpan w:val="4"/>
          </w:tcPr>
          <w:p>
            <w:pPr>
              <w:pStyle w:val="13"/>
              <w:spacing w:line="380" w:lineRule="exact"/>
              <w:jc w:val="left"/>
              <w:rPr>
                <w:rFonts w:cs="黑体"/>
                <w:color w:val="00B050"/>
                <w:szCs w:val="21"/>
              </w:rPr>
            </w:pPr>
            <w:r>
              <w:rPr>
                <w:rFonts w:hint="eastAsia" w:hAnsi="宋体" w:cs="宋体"/>
                <w:color w:val="00B050"/>
                <w:szCs w:val="21"/>
              </w:rPr>
              <w:t>信用是以偿还本金和支付利息为条件的借贷行为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4" w:type="dxa"/>
            <w:vAlign w:val="center"/>
          </w:tcPr>
          <w:p>
            <w:pPr>
              <w:pStyle w:val="13"/>
              <w:spacing w:line="380" w:lineRule="exact"/>
              <w:ind w:firstLine="210" w:firstLineChars="100"/>
              <w:rPr>
                <w:rFonts w:cs="宋体"/>
                <w:color w:val="00B050"/>
                <w:szCs w:val="21"/>
              </w:rPr>
            </w:pPr>
            <w:r>
              <w:rPr>
                <w:rFonts w:hint="eastAsia" w:hAnsi="宋体" w:cs="宋体"/>
                <w:color w:val="00B050"/>
                <w:szCs w:val="21"/>
              </w:rPr>
              <w:t>直接融资</w:t>
            </w:r>
          </w:p>
        </w:tc>
        <w:tc>
          <w:tcPr>
            <w:tcW w:w="7138" w:type="dxa"/>
            <w:gridSpan w:val="4"/>
            <w:vAlign w:val="center"/>
          </w:tcPr>
          <w:p>
            <w:pPr>
              <w:pStyle w:val="13"/>
              <w:spacing w:line="380" w:lineRule="exact"/>
              <w:rPr>
                <w:rFonts w:cs="宋体"/>
                <w:color w:val="00B050"/>
                <w:szCs w:val="21"/>
              </w:rPr>
            </w:pPr>
            <w:r>
              <w:rPr>
                <w:rFonts w:hint="eastAsia" w:hAnsi="宋体" w:cs="宋体"/>
                <w:color w:val="00B050"/>
                <w:szCs w:val="21"/>
              </w:rPr>
              <w:t>资金供求双方形成直接的债权债务关系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cs="黑体"/>
                <w:color w:val="00B050"/>
                <w:szCs w:val="21"/>
              </w:rPr>
            </w:pPr>
            <w:r>
              <w:rPr>
                <w:rFonts w:hint="eastAsia" w:cs="黑体"/>
                <w:color w:val="00B050"/>
                <w:szCs w:val="21"/>
              </w:rPr>
              <w:t xml:space="preserve"> </w:t>
            </w:r>
            <w:r>
              <w:rPr>
                <w:rFonts w:hint="eastAsia" w:hAnsi="Calibri" w:cs="黑体"/>
                <w:color w:val="00B050"/>
                <w:szCs w:val="21"/>
              </w:rPr>
              <w:t>间接融资</w:t>
            </w:r>
          </w:p>
        </w:tc>
        <w:tc>
          <w:tcPr>
            <w:tcW w:w="7138" w:type="dxa"/>
            <w:gridSpan w:val="4"/>
          </w:tcPr>
          <w:p>
            <w:pPr>
              <w:pStyle w:val="11"/>
              <w:spacing w:line="380" w:lineRule="exact"/>
              <w:jc w:val="left"/>
              <w:rPr>
                <w:rFonts w:cs="黑体"/>
                <w:color w:val="00B050"/>
                <w:sz w:val="21"/>
                <w:szCs w:val="21"/>
              </w:rPr>
            </w:pPr>
            <w:r>
              <w:rPr>
                <w:rFonts w:hint="eastAsia" w:cs="黑体"/>
                <w:color w:val="00B050"/>
                <w:sz w:val="21"/>
                <w:szCs w:val="21"/>
              </w:rPr>
              <w:t>资金供求双方分别和中介机构形成债权债务关系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5"/>
            <w:vAlign w:val="center"/>
          </w:tcPr>
          <w:p>
            <w:pPr>
              <w:pStyle w:val="15"/>
              <w:spacing w:line="380" w:lineRule="exact"/>
              <w:rPr>
                <w:rFonts w:ascii="Times New Roman" w:eastAsia="宋体" w:cs="黑体"/>
                <w:color w:val="00B050"/>
                <w:sz w:val="21"/>
                <w:szCs w:val="21"/>
              </w:rPr>
            </w:pPr>
            <w:r>
              <w:rPr>
                <w:rFonts w:hint="eastAsia" w:ascii="Times New Roman" w:hAnsi="宋体" w:eastAsia="宋体" w:cs="黑体"/>
                <w:color w:val="00B050"/>
                <w:sz w:val="21"/>
                <w:szCs w:val="21"/>
              </w:rPr>
              <w:t>信用的基本形式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" w:hRule="atLeast"/>
        </w:trPr>
        <w:tc>
          <w:tcPr>
            <w:tcW w:w="1384" w:type="dxa"/>
            <w:vMerge w:val="restart"/>
            <w:vAlign w:val="center"/>
          </w:tcPr>
          <w:p>
            <w:pPr>
              <w:pStyle w:val="11"/>
              <w:spacing w:line="380" w:lineRule="exact"/>
              <w:ind w:firstLine="210" w:firstLineChars="100"/>
              <w:rPr>
                <w:rFonts w:cs="黑体"/>
                <w:color w:val="00B050"/>
                <w:sz w:val="21"/>
                <w:szCs w:val="21"/>
              </w:rPr>
            </w:pPr>
            <w:r>
              <w:rPr>
                <w:rFonts w:hint="eastAsia" w:cs="黑体"/>
                <w:color w:val="00B050"/>
                <w:sz w:val="21"/>
                <w:szCs w:val="21"/>
              </w:rPr>
              <w:t>信用工具</w:t>
            </w:r>
          </w:p>
        </w:tc>
        <w:tc>
          <w:tcPr>
            <w:tcW w:w="1843" w:type="dxa"/>
          </w:tcPr>
          <w:p>
            <w:pPr>
              <w:pStyle w:val="11"/>
              <w:spacing w:line="380" w:lineRule="exact"/>
              <w:ind w:firstLine="0" w:firstLineChars="0"/>
              <w:jc w:val="center"/>
              <w:rPr>
                <w:rFonts w:cs="黑体"/>
                <w:color w:val="00B050"/>
                <w:sz w:val="21"/>
                <w:szCs w:val="21"/>
              </w:rPr>
            </w:pPr>
            <w:r>
              <w:rPr>
                <w:rFonts w:hint="eastAsia" w:cs="黑体"/>
                <w:color w:val="00B050"/>
                <w:sz w:val="21"/>
                <w:szCs w:val="21"/>
              </w:rPr>
              <w:t>商业信用</w:t>
            </w:r>
          </w:p>
        </w:tc>
        <w:tc>
          <w:tcPr>
            <w:tcW w:w="2835" w:type="dxa"/>
            <w:gridSpan w:val="2"/>
          </w:tcPr>
          <w:p>
            <w:pPr>
              <w:pStyle w:val="13"/>
              <w:spacing w:line="380" w:lineRule="exact"/>
              <w:ind w:firstLine="1050" w:firstLineChars="500"/>
              <w:rPr>
                <w:rFonts w:cs="黑体"/>
                <w:color w:val="00B050"/>
                <w:szCs w:val="21"/>
              </w:rPr>
            </w:pPr>
            <w:r>
              <w:rPr>
                <w:rFonts w:hint="eastAsia" w:cs="黑体"/>
                <w:color w:val="00B050"/>
                <w:szCs w:val="21"/>
              </w:rPr>
              <w:t>银行信用</w:t>
            </w:r>
          </w:p>
        </w:tc>
        <w:tc>
          <w:tcPr>
            <w:tcW w:w="2460" w:type="dxa"/>
          </w:tcPr>
          <w:p>
            <w:pPr>
              <w:pStyle w:val="13"/>
              <w:spacing w:line="380" w:lineRule="exact"/>
              <w:ind w:firstLine="630" w:firstLineChars="300"/>
              <w:jc w:val="left"/>
              <w:rPr>
                <w:rFonts w:cs="黑体"/>
                <w:color w:val="00B050"/>
                <w:szCs w:val="21"/>
              </w:rPr>
            </w:pPr>
            <w:r>
              <w:rPr>
                <w:rFonts w:hint="eastAsia" w:cs="黑体"/>
                <w:color w:val="00B050"/>
                <w:szCs w:val="21"/>
              </w:rPr>
              <w:t>国家信用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384" w:type="dxa"/>
            <w:vMerge w:val="continue"/>
            <w:vAlign w:val="center"/>
          </w:tcPr>
          <w:p>
            <w:pPr>
              <w:pStyle w:val="11"/>
              <w:spacing w:line="380" w:lineRule="exact"/>
              <w:ind w:firstLine="0" w:firstLineChars="0"/>
              <w:jc w:val="center"/>
              <w:rPr>
                <w:rFonts w:cs="黑体"/>
                <w:color w:val="00B050"/>
                <w:sz w:val="21"/>
                <w:szCs w:val="21"/>
              </w:rPr>
            </w:pPr>
          </w:p>
        </w:tc>
        <w:tc>
          <w:tcPr>
            <w:tcW w:w="1843" w:type="dxa"/>
          </w:tcPr>
          <w:p>
            <w:pPr>
              <w:pStyle w:val="11"/>
              <w:spacing w:line="380" w:lineRule="exact"/>
              <w:ind w:firstLine="0" w:firstLineChars="0"/>
              <w:jc w:val="center"/>
              <w:rPr>
                <w:rFonts w:cs="黑体"/>
                <w:color w:val="00B050"/>
                <w:sz w:val="21"/>
                <w:szCs w:val="21"/>
              </w:rPr>
            </w:pPr>
            <w:r>
              <w:rPr>
                <w:rFonts w:hint="eastAsia" w:cs="黑体"/>
                <w:color w:val="00B050"/>
                <w:sz w:val="21"/>
                <w:szCs w:val="21"/>
              </w:rPr>
              <w:t>商业汇票</w:t>
            </w:r>
          </w:p>
          <w:p>
            <w:pPr>
              <w:pStyle w:val="11"/>
              <w:spacing w:line="380" w:lineRule="exact"/>
              <w:ind w:firstLine="0" w:firstLineChars="0"/>
              <w:jc w:val="center"/>
              <w:rPr>
                <w:rFonts w:cs="黑体"/>
                <w:color w:val="00B050"/>
                <w:sz w:val="21"/>
                <w:szCs w:val="21"/>
              </w:rPr>
            </w:pPr>
            <w:r>
              <w:rPr>
                <w:rFonts w:hint="eastAsia" w:cs="黑体"/>
                <w:color w:val="00B050"/>
                <w:sz w:val="21"/>
                <w:szCs w:val="21"/>
              </w:rPr>
              <w:t>商业本票</w:t>
            </w:r>
          </w:p>
        </w:tc>
        <w:tc>
          <w:tcPr>
            <w:tcW w:w="2835" w:type="dxa"/>
            <w:gridSpan w:val="2"/>
          </w:tcPr>
          <w:p>
            <w:pPr>
              <w:pStyle w:val="13"/>
              <w:spacing w:line="380" w:lineRule="exact"/>
              <w:ind w:firstLine="1050" w:firstLineChars="500"/>
              <w:rPr>
                <w:rFonts w:cs="黑体"/>
                <w:color w:val="00B050"/>
                <w:szCs w:val="21"/>
              </w:rPr>
            </w:pPr>
            <w:r>
              <w:rPr>
                <w:rFonts w:hint="eastAsia" w:cs="黑体"/>
                <w:color w:val="00B050"/>
                <w:szCs w:val="21"/>
              </w:rPr>
              <w:t>银行本票</w:t>
            </w:r>
          </w:p>
          <w:p>
            <w:pPr>
              <w:pStyle w:val="13"/>
              <w:spacing w:line="380" w:lineRule="exact"/>
              <w:ind w:firstLine="1050" w:firstLineChars="500"/>
              <w:rPr>
                <w:rFonts w:cs="黑体"/>
                <w:color w:val="00B050"/>
                <w:szCs w:val="21"/>
              </w:rPr>
            </w:pPr>
            <w:r>
              <w:rPr>
                <w:rFonts w:hint="eastAsia" w:cs="黑体"/>
                <w:color w:val="00B050"/>
                <w:szCs w:val="21"/>
              </w:rPr>
              <w:t>银行汇票</w:t>
            </w:r>
          </w:p>
          <w:p>
            <w:pPr>
              <w:pStyle w:val="13"/>
              <w:spacing w:line="380" w:lineRule="exact"/>
              <w:ind w:firstLine="1050" w:firstLineChars="500"/>
              <w:rPr>
                <w:rFonts w:cs="黑体"/>
                <w:color w:val="00B050"/>
                <w:szCs w:val="21"/>
              </w:rPr>
            </w:pPr>
            <w:r>
              <w:rPr>
                <w:rFonts w:hint="eastAsia" w:cs="黑体"/>
                <w:color w:val="00B050"/>
                <w:szCs w:val="21"/>
              </w:rPr>
              <w:t>支票</w:t>
            </w:r>
          </w:p>
          <w:p>
            <w:pPr>
              <w:pStyle w:val="13"/>
              <w:spacing w:line="380" w:lineRule="exact"/>
              <w:ind w:firstLine="1050" w:firstLineChars="500"/>
              <w:rPr>
                <w:rFonts w:cs="黑体"/>
                <w:color w:val="00B050"/>
                <w:szCs w:val="21"/>
              </w:rPr>
            </w:pPr>
            <w:r>
              <w:rPr>
                <w:rFonts w:hint="eastAsia" w:cs="黑体"/>
                <w:color w:val="00B050"/>
                <w:szCs w:val="21"/>
              </w:rPr>
              <w:t>信用证</w:t>
            </w:r>
          </w:p>
        </w:tc>
        <w:tc>
          <w:tcPr>
            <w:tcW w:w="2460" w:type="dxa"/>
          </w:tcPr>
          <w:p>
            <w:pPr>
              <w:pStyle w:val="13"/>
              <w:spacing w:line="380" w:lineRule="exact"/>
              <w:ind w:firstLine="630" w:firstLineChars="300"/>
              <w:jc w:val="left"/>
              <w:rPr>
                <w:rFonts w:cs="黑体"/>
                <w:color w:val="00B050"/>
                <w:szCs w:val="21"/>
              </w:rPr>
            </w:pPr>
            <w:r>
              <w:rPr>
                <w:rFonts w:hint="eastAsia" w:cs="黑体"/>
                <w:color w:val="00B050"/>
                <w:szCs w:val="21"/>
              </w:rPr>
              <w:t>公债</w:t>
            </w:r>
          </w:p>
          <w:p>
            <w:pPr>
              <w:pStyle w:val="13"/>
              <w:spacing w:line="380" w:lineRule="exact"/>
              <w:ind w:firstLine="630" w:firstLineChars="300"/>
              <w:jc w:val="left"/>
              <w:rPr>
                <w:rFonts w:cs="黑体"/>
                <w:color w:val="00B050"/>
                <w:szCs w:val="21"/>
              </w:rPr>
            </w:pPr>
            <w:r>
              <w:rPr>
                <w:rFonts w:hint="eastAsia" w:cs="黑体"/>
                <w:color w:val="00B050"/>
                <w:szCs w:val="21"/>
              </w:rPr>
              <w:t>国库券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384" w:type="dxa"/>
            <w:vAlign w:val="center"/>
          </w:tcPr>
          <w:p>
            <w:pPr>
              <w:pStyle w:val="13"/>
              <w:spacing w:line="380" w:lineRule="exact"/>
              <w:ind w:firstLine="105" w:firstLineChars="50"/>
              <w:rPr>
                <w:rFonts w:cs="黑体"/>
                <w:color w:val="00B050"/>
                <w:szCs w:val="21"/>
              </w:rPr>
            </w:pPr>
            <w:r>
              <w:rPr>
                <w:rFonts w:hint="eastAsia" w:cs="黑体"/>
                <w:color w:val="00B050"/>
                <w:szCs w:val="21"/>
              </w:rPr>
              <w:t>消费信用</w:t>
            </w:r>
          </w:p>
        </w:tc>
        <w:tc>
          <w:tcPr>
            <w:tcW w:w="7138" w:type="dxa"/>
            <w:gridSpan w:val="4"/>
            <w:vAlign w:val="center"/>
          </w:tcPr>
          <w:p>
            <w:pPr>
              <w:pStyle w:val="13"/>
              <w:spacing w:line="380" w:lineRule="exact"/>
              <w:ind w:firstLine="0" w:firstLineChars="0"/>
              <w:jc w:val="left"/>
              <w:rPr>
                <w:rFonts w:cs="黑体"/>
                <w:color w:val="00B050"/>
                <w:szCs w:val="21"/>
              </w:rPr>
            </w:pPr>
            <w:r>
              <w:rPr>
                <w:rFonts w:hint="eastAsia" w:cs="黑体"/>
                <w:color w:val="00B050"/>
                <w:szCs w:val="21"/>
              </w:rPr>
              <w:t>指对消费者个人提供的，用于满足其消费需求的信用。其形式包括赊销、分期付款、消费贷款、信用卡透支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8522" w:type="dxa"/>
            <w:gridSpan w:val="5"/>
            <w:vAlign w:val="center"/>
          </w:tcPr>
          <w:p>
            <w:pPr>
              <w:pStyle w:val="15"/>
              <w:rPr>
                <w:rFonts w:ascii="Times New Roman" w:eastAsia="宋体" w:cs="黑体"/>
                <w:color w:val="00B050"/>
                <w:sz w:val="21"/>
                <w:szCs w:val="21"/>
              </w:rPr>
            </w:pPr>
            <w:r>
              <w:rPr>
                <w:rFonts w:hint="eastAsia" w:ascii="Times New Roman" w:eastAsia="宋体"/>
                <w:color w:val="00B050"/>
                <w:sz w:val="21"/>
              </w:rPr>
              <w:t>考点二、利息和利率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384" w:type="dxa"/>
            <w:vAlign w:val="center"/>
          </w:tcPr>
          <w:p>
            <w:pPr>
              <w:pStyle w:val="13"/>
              <w:spacing w:line="380" w:lineRule="exact"/>
              <w:ind w:firstLine="105" w:firstLineChars="50"/>
              <w:rPr>
                <w:rFonts w:cs="黑体"/>
                <w:color w:val="00B050"/>
                <w:szCs w:val="28"/>
              </w:rPr>
            </w:pPr>
            <w:r>
              <w:rPr>
                <w:rFonts w:hint="eastAsia" w:cs="黑体"/>
                <w:color w:val="00B050"/>
                <w:szCs w:val="21"/>
              </w:rPr>
              <w:t>利息的含义</w:t>
            </w:r>
          </w:p>
        </w:tc>
        <w:tc>
          <w:tcPr>
            <w:tcW w:w="7138" w:type="dxa"/>
            <w:gridSpan w:val="4"/>
            <w:vAlign w:val="center"/>
          </w:tcPr>
          <w:p>
            <w:pPr>
              <w:pStyle w:val="13"/>
              <w:spacing w:line="380" w:lineRule="exact"/>
              <w:ind w:firstLine="0" w:firstLineChars="0"/>
              <w:jc w:val="center"/>
              <w:rPr>
                <w:rFonts w:cs="黑体"/>
                <w:color w:val="00B050"/>
                <w:szCs w:val="21"/>
              </w:rPr>
            </w:pPr>
            <w:r>
              <w:rPr>
                <w:rFonts w:hint="eastAsia" w:cs="黑体"/>
                <w:color w:val="00B050"/>
                <w:szCs w:val="21"/>
              </w:rPr>
              <w:t>指在借贷关系中由借方支付给贷方的报酬，是借贷资本的“价格”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8522" w:type="dxa"/>
            <w:gridSpan w:val="5"/>
            <w:vAlign w:val="center"/>
          </w:tcPr>
          <w:p>
            <w:pPr>
              <w:pStyle w:val="13"/>
              <w:spacing w:line="380" w:lineRule="exact"/>
              <w:ind w:firstLine="0" w:firstLineChars="0"/>
              <w:jc w:val="center"/>
              <w:rPr>
                <w:rFonts w:cs="黑体"/>
                <w:color w:val="00B050"/>
                <w:szCs w:val="21"/>
              </w:rPr>
            </w:pPr>
            <w:r>
              <w:rPr>
                <w:rFonts w:hint="eastAsia" w:cs="黑体"/>
                <w:color w:val="00B050"/>
                <w:szCs w:val="21"/>
              </w:rPr>
              <w:t>利率的分类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4261" w:type="dxa"/>
            <w:gridSpan w:val="3"/>
            <w:vAlign w:val="center"/>
          </w:tcPr>
          <w:p>
            <w:pPr>
              <w:pStyle w:val="13"/>
              <w:spacing w:line="380" w:lineRule="exact"/>
              <w:ind w:firstLine="0" w:firstLineChars="0"/>
              <w:jc w:val="center"/>
              <w:rPr>
                <w:rFonts w:cs="黑体"/>
                <w:color w:val="00B050"/>
                <w:szCs w:val="21"/>
              </w:rPr>
            </w:pPr>
            <w:r>
              <w:rPr>
                <w:rFonts w:hint="eastAsia" w:hAnsi="宋体" w:cs="宋体"/>
                <w:bCs/>
                <w:color w:val="00B050"/>
                <w:szCs w:val="24"/>
              </w:rPr>
              <w:t>按是否剔除了通货膨胀率的影响划分</w:t>
            </w:r>
          </w:p>
        </w:tc>
        <w:tc>
          <w:tcPr>
            <w:tcW w:w="4261" w:type="dxa"/>
            <w:gridSpan w:val="2"/>
            <w:vAlign w:val="center"/>
          </w:tcPr>
          <w:p>
            <w:pPr>
              <w:pStyle w:val="13"/>
              <w:spacing w:line="380" w:lineRule="exact"/>
              <w:ind w:firstLine="0" w:firstLineChars="0"/>
              <w:jc w:val="center"/>
              <w:rPr>
                <w:rFonts w:cs="黑体"/>
                <w:color w:val="00B050"/>
                <w:szCs w:val="21"/>
              </w:rPr>
            </w:pPr>
            <w:r>
              <w:rPr>
                <w:rFonts w:hint="eastAsia" w:hAnsi="宋体" w:cs="宋体"/>
                <w:bCs/>
                <w:color w:val="00B050"/>
                <w:szCs w:val="24"/>
              </w:rPr>
              <w:t>实际利率与名义利率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4261" w:type="dxa"/>
            <w:gridSpan w:val="3"/>
            <w:vAlign w:val="center"/>
          </w:tcPr>
          <w:p>
            <w:pPr>
              <w:pStyle w:val="13"/>
              <w:spacing w:line="380" w:lineRule="exact"/>
              <w:ind w:firstLine="0" w:firstLineChars="0"/>
              <w:jc w:val="center"/>
              <w:rPr>
                <w:rFonts w:cs="黑体"/>
                <w:color w:val="00B050"/>
                <w:szCs w:val="21"/>
              </w:rPr>
            </w:pPr>
            <w:r>
              <w:rPr>
                <w:rFonts w:hint="eastAsia" w:hAnsi="宋体" w:cs="宋体"/>
                <w:color w:val="00B050"/>
                <w:szCs w:val="24"/>
              </w:rPr>
              <w:t>按借贷期内是否调整划分</w:t>
            </w:r>
          </w:p>
        </w:tc>
        <w:tc>
          <w:tcPr>
            <w:tcW w:w="4261" w:type="dxa"/>
            <w:gridSpan w:val="2"/>
            <w:vAlign w:val="center"/>
          </w:tcPr>
          <w:p>
            <w:pPr>
              <w:pStyle w:val="13"/>
              <w:spacing w:line="380" w:lineRule="exact"/>
              <w:ind w:firstLine="0" w:firstLineChars="0"/>
              <w:jc w:val="center"/>
              <w:rPr>
                <w:rFonts w:cs="黑体"/>
                <w:color w:val="00B050"/>
                <w:szCs w:val="21"/>
              </w:rPr>
            </w:pPr>
            <w:r>
              <w:rPr>
                <w:rFonts w:hint="eastAsia" w:hAnsi="宋体" w:cs="宋体"/>
                <w:color w:val="00B050"/>
                <w:szCs w:val="24"/>
              </w:rPr>
              <w:t>固定利率与浮动利率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4261" w:type="dxa"/>
            <w:gridSpan w:val="3"/>
            <w:vAlign w:val="center"/>
          </w:tcPr>
          <w:p>
            <w:pPr>
              <w:pStyle w:val="13"/>
              <w:spacing w:line="380" w:lineRule="exact"/>
              <w:ind w:firstLine="0" w:firstLineChars="0"/>
              <w:jc w:val="center"/>
              <w:rPr>
                <w:rFonts w:cs="黑体"/>
                <w:color w:val="00B050"/>
                <w:szCs w:val="21"/>
              </w:rPr>
            </w:pPr>
            <w:r>
              <w:rPr>
                <w:rFonts w:hint="eastAsia" w:hAnsi="宋体" w:cs="宋体"/>
                <w:color w:val="00B050"/>
                <w:szCs w:val="24"/>
              </w:rPr>
              <w:t>按利率不同的决定方式划分</w:t>
            </w:r>
          </w:p>
        </w:tc>
        <w:tc>
          <w:tcPr>
            <w:tcW w:w="4261" w:type="dxa"/>
            <w:gridSpan w:val="2"/>
            <w:vAlign w:val="center"/>
          </w:tcPr>
          <w:p>
            <w:pPr>
              <w:pStyle w:val="13"/>
              <w:spacing w:line="380" w:lineRule="exact"/>
              <w:ind w:firstLine="0" w:firstLineChars="0"/>
              <w:jc w:val="center"/>
              <w:rPr>
                <w:rFonts w:cs="黑体"/>
                <w:color w:val="00B050"/>
                <w:szCs w:val="21"/>
              </w:rPr>
            </w:pPr>
            <w:r>
              <w:rPr>
                <w:rFonts w:hint="eastAsia" w:hAnsi="宋体" w:cs="宋体"/>
                <w:color w:val="00B050"/>
                <w:szCs w:val="24"/>
              </w:rPr>
              <w:t>官定利率、市场利率、公定利率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4261" w:type="dxa"/>
            <w:gridSpan w:val="3"/>
            <w:vAlign w:val="center"/>
          </w:tcPr>
          <w:p>
            <w:pPr>
              <w:pStyle w:val="13"/>
              <w:spacing w:line="380" w:lineRule="exact"/>
              <w:ind w:firstLine="0" w:firstLineChars="0"/>
              <w:jc w:val="center"/>
              <w:rPr>
                <w:rFonts w:cs="黑体"/>
                <w:color w:val="00B050"/>
                <w:szCs w:val="21"/>
              </w:rPr>
            </w:pPr>
            <w:r>
              <w:rPr>
                <w:rFonts w:hint="eastAsia" w:hAnsi="宋体" w:cs="宋体"/>
                <w:color w:val="00B050"/>
                <w:szCs w:val="24"/>
              </w:rPr>
              <w:t>按利率的不同作用划分</w:t>
            </w:r>
          </w:p>
        </w:tc>
        <w:tc>
          <w:tcPr>
            <w:tcW w:w="4261" w:type="dxa"/>
            <w:gridSpan w:val="2"/>
            <w:vAlign w:val="center"/>
          </w:tcPr>
          <w:p>
            <w:pPr>
              <w:pStyle w:val="13"/>
              <w:spacing w:line="380" w:lineRule="exact"/>
              <w:ind w:firstLine="0" w:firstLineChars="0"/>
              <w:jc w:val="center"/>
              <w:rPr>
                <w:rFonts w:cs="黑体"/>
                <w:color w:val="00B050"/>
                <w:szCs w:val="21"/>
              </w:rPr>
            </w:pPr>
            <w:r>
              <w:rPr>
                <w:rFonts w:hint="eastAsia" w:hAnsi="宋体" w:cs="宋体"/>
                <w:color w:val="00B050"/>
                <w:szCs w:val="24"/>
              </w:rPr>
              <w:t>基准利率与差别利率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4261" w:type="dxa"/>
            <w:gridSpan w:val="3"/>
            <w:vAlign w:val="center"/>
          </w:tcPr>
          <w:p>
            <w:pPr>
              <w:pStyle w:val="13"/>
              <w:spacing w:line="380" w:lineRule="exact"/>
              <w:ind w:firstLine="0" w:firstLineChars="0"/>
              <w:jc w:val="center"/>
              <w:rPr>
                <w:rFonts w:cs="黑体"/>
                <w:color w:val="00B050"/>
                <w:szCs w:val="21"/>
              </w:rPr>
            </w:pPr>
            <w:r>
              <w:rPr>
                <w:rFonts w:hint="eastAsia" w:hAnsi="宋体" w:cs="宋体"/>
                <w:color w:val="00B050"/>
                <w:szCs w:val="24"/>
              </w:rPr>
              <w:t>按是否带有优惠性质划分</w:t>
            </w:r>
          </w:p>
        </w:tc>
        <w:tc>
          <w:tcPr>
            <w:tcW w:w="4261" w:type="dxa"/>
            <w:gridSpan w:val="2"/>
            <w:vAlign w:val="center"/>
          </w:tcPr>
          <w:p>
            <w:pPr>
              <w:pStyle w:val="13"/>
              <w:spacing w:line="380" w:lineRule="exact"/>
              <w:ind w:firstLine="0" w:firstLineChars="0"/>
              <w:jc w:val="center"/>
              <w:rPr>
                <w:rFonts w:cs="黑体"/>
                <w:color w:val="00B050"/>
                <w:szCs w:val="21"/>
              </w:rPr>
            </w:pPr>
            <w:r>
              <w:rPr>
                <w:rFonts w:hint="eastAsia" w:hAnsi="宋体" w:cs="宋体"/>
                <w:color w:val="00B050"/>
                <w:szCs w:val="24"/>
              </w:rPr>
              <w:t>一般利率与优惠利率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4261" w:type="dxa"/>
            <w:gridSpan w:val="3"/>
            <w:vAlign w:val="center"/>
          </w:tcPr>
          <w:p>
            <w:pPr>
              <w:pStyle w:val="13"/>
              <w:spacing w:line="380" w:lineRule="exact"/>
              <w:ind w:firstLine="0" w:firstLineChars="0"/>
              <w:jc w:val="center"/>
              <w:rPr>
                <w:rFonts w:cs="黑体"/>
                <w:color w:val="00B050"/>
                <w:szCs w:val="21"/>
              </w:rPr>
            </w:pPr>
            <w:r>
              <w:rPr>
                <w:rFonts w:hint="eastAsia" w:cs="黑体"/>
                <w:color w:val="00B050"/>
              </w:rPr>
              <w:t>按借贷期内的时间单位不同划分</w:t>
            </w:r>
          </w:p>
        </w:tc>
        <w:tc>
          <w:tcPr>
            <w:tcW w:w="4261" w:type="dxa"/>
            <w:gridSpan w:val="2"/>
            <w:vAlign w:val="center"/>
          </w:tcPr>
          <w:p>
            <w:pPr>
              <w:pStyle w:val="13"/>
              <w:spacing w:line="380" w:lineRule="exact"/>
              <w:ind w:firstLine="0" w:firstLineChars="0"/>
              <w:jc w:val="center"/>
              <w:rPr>
                <w:rFonts w:cs="黑体"/>
                <w:color w:val="00B050"/>
                <w:szCs w:val="21"/>
              </w:rPr>
            </w:pPr>
            <w:r>
              <w:rPr>
                <w:rFonts w:hint="eastAsia" w:hAnsi="宋体" w:cs="宋体"/>
                <w:color w:val="00B050"/>
                <w:szCs w:val="24"/>
              </w:rPr>
              <w:t>年利率、月利率、日利率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4261" w:type="dxa"/>
            <w:gridSpan w:val="3"/>
            <w:vAlign w:val="center"/>
          </w:tcPr>
          <w:p>
            <w:pPr>
              <w:pStyle w:val="13"/>
              <w:spacing w:line="380" w:lineRule="exact"/>
              <w:ind w:firstLine="0" w:firstLineChars="0"/>
              <w:jc w:val="center"/>
              <w:rPr>
                <w:rFonts w:cs="黑体"/>
                <w:color w:val="00B050"/>
                <w:szCs w:val="21"/>
              </w:rPr>
            </w:pPr>
            <w:r>
              <w:rPr>
                <w:rFonts w:hint="eastAsia" w:cs="黑体"/>
                <w:color w:val="00B050"/>
              </w:rPr>
              <w:t>按计算方式</w:t>
            </w:r>
          </w:p>
        </w:tc>
        <w:tc>
          <w:tcPr>
            <w:tcW w:w="4261" w:type="dxa"/>
            <w:gridSpan w:val="2"/>
            <w:vAlign w:val="center"/>
          </w:tcPr>
          <w:p>
            <w:pPr>
              <w:pStyle w:val="13"/>
              <w:spacing w:line="380" w:lineRule="exact"/>
              <w:ind w:firstLine="0" w:firstLineChars="0"/>
              <w:jc w:val="center"/>
              <w:rPr>
                <w:rFonts w:cs="黑体"/>
                <w:color w:val="00B050"/>
                <w:szCs w:val="21"/>
              </w:rPr>
            </w:pPr>
            <w:r>
              <w:rPr>
                <w:rFonts w:hint="eastAsia" w:cs="黑体"/>
                <w:color w:val="00B050"/>
              </w:rPr>
              <w:t>单利和复利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8522" w:type="dxa"/>
            <w:gridSpan w:val="5"/>
            <w:vAlign w:val="center"/>
          </w:tcPr>
          <w:p>
            <w:pPr>
              <w:pStyle w:val="13"/>
              <w:spacing w:line="380" w:lineRule="exact"/>
              <w:ind w:firstLine="0" w:firstLineChars="0"/>
              <w:jc w:val="center"/>
              <w:rPr>
                <w:color w:val="00B050"/>
              </w:rPr>
            </w:pPr>
            <w:r>
              <w:rPr>
                <w:color w:val="00B05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2461260</wp:posOffset>
                      </wp:positionH>
                      <wp:positionV relativeFrom="paragraph">
                        <wp:posOffset>39370</wp:posOffset>
                      </wp:positionV>
                      <wp:extent cx="586740" cy="186690"/>
                      <wp:effectExtent l="0" t="19050" r="41910" b="41910"/>
                      <wp:wrapNone/>
                      <wp:docPr id="9246" name="右箭头 9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740" cy="18669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785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193.8pt;margin-top:3.1pt;height:14.7pt;width:46.2pt;z-index:251664384;mso-width-relative:page;mso-height-relative:page;" fillcolor="#FFFFFF" filled="t" stroked="t" coordsize="21600,21600" o:gfxdata="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Cpnxh2QAAAAgBAAAPAAAAAAAAAAEAIAAAACIA&#10;AABkcnMvZG93bnJldi54bWxQSwECFAAUAAAACACHTuJAEdZrq0ECAACABAAADgAAAAAAAAABACAA&#10;AAAoAQAAZHJzL2Uyb0RvYy54bWxQSwUGAAAAAAYABgBZAQAA2wUAAAAA&#10;" adj="16201,5400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cs="黑体"/>
                <w:color w:val="00B050"/>
              </w:rPr>
              <w:t>利率对金融资产价格的影响           利率和证券价格成反比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8522" w:type="dxa"/>
            <w:gridSpan w:val="5"/>
            <w:vAlign w:val="center"/>
          </w:tcPr>
          <w:p>
            <w:pPr>
              <w:pStyle w:val="15"/>
              <w:rPr>
                <w:rFonts w:ascii="Times New Roman" w:eastAsia="宋体"/>
                <w:color w:val="00B050"/>
                <w:sz w:val="21"/>
              </w:rPr>
            </w:pPr>
            <w:r>
              <w:rPr>
                <w:rFonts w:hint="eastAsia" w:ascii="Times New Roman" w:eastAsia="宋体"/>
                <w:color w:val="00B050"/>
                <w:sz w:val="21"/>
              </w:rPr>
              <w:t>考点三、金融衍生工具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8522" w:type="dxa"/>
            <w:gridSpan w:val="5"/>
            <w:vAlign w:val="center"/>
          </w:tcPr>
          <w:p>
            <w:pPr>
              <w:pStyle w:val="17"/>
              <w:ind w:firstLine="420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根据基础资产分</w:t>
            </w:r>
          </w:p>
          <w:p>
            <w:pPr>
              <w:pStyle w:val="17"/>
              <w:ind w:firstLine="420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1、股票衍生工具：股票期权、股票期货、股票价格指数期货、股指期权、认股权证、可转换债券、与股权相关的债券。</w:t>
            </w:r>
          </w:p>
          <w:p>
            <w:pPr>
              <w:pStyle w:val="17"/>
              <w:ind w:firstLine="420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2、利率衍生工具：短期利率期货、债券期货、债券期权、利率互换、互换期权、远期利率协议。</w:t>
            </w:r>
          </w:p>
          <w:p>
            <w:pPr>
              <w:pStyle w:val="17"/>
              <w:ind w:firstLine="420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3、货币或汇率衍生工具：外汇合约、外汇期货、外汇期权、货币互换。</w:t>
            </w:r>
          </w:p>
          <w:p>
            <w:pPr>
              <w:pStyle w:val="17"/>
              <w:ind w:firstLine="420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按交易形式分</w:t>
            </w:r>
            <w:bookmarkStart w:id="2" w:name="_GoBack"/>
            <w:bookmarkEnd w:id="2"/>
          </w:p>
          <w:p>
            <w:pPr>
              <w:pStyle w:val="17"/>
              <w:ind w:firstLine="420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远期合约、期货合约、期权合约和互换合约。</w:t>
            </w:r>
          </w:p>
        </w:tc>
      </w:tr>
    </w:tbl>
    <w:p>
      <w:pPr>
        <w:pStyle w:val="18"/>
        <w:spacing w:line="360" w:lineRule="exact"/>
        <w:ind w:firstLine="0" w:firstLineChars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【2015四川农信社柜员岗•真题】</w:t>
      </w:r>
    </w:p>
    <w:p>
      <w:pPr>
        <w:pStyle w:val="18"/>
        <w:numPr>
          <w:ilvl w:val="0"/>
          <w:numId w:val="1"/>
        </w:numPr>
        <w:spacing w:line="36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国家信用的主要形式是（  ）。</w:t>
      </w:r>
    </w:p>
    <w:p>
      <w:pPr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A.发行政府债券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B.向商业银行短期借款</w:t>
      </w:r>
    </w:p>
    <w:p>
      <w:pPr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C.向商业银行长期借款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D.自愿捐助</w:t>
      </w:r>
    </w:p>
    <w:p>
      <w:pPr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【答案】A</w:t>
      </w:r>
    </w:p>
    <w:p>
      <w:pPr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【解析】国家信用是政府作为债务人向社会公众或国外政府举债，主要形式是发行政府债券。</w:t>
      </w:r>
    </w:p>
    <w:p>
      <w:pPr>
        <w:pStyle w:val="18"/>
        <w:numPr>
          <w:ilvl w:val="0"/>
          <w:numId w:val="2"/>
        </w:numPr>
        <w:spacing w:line="360" w:lineRule="exact"/>
        <w:ind w:firstLineChars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下列不属于金融衍生工具特点的是（  ）。</w:t>
      </w:r>
    </w:p>
    <w:p>
      <w:pPr>
        <w:spacing w:line="36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A.价格具有高波动性</w:t>
      </w:r>
    </w:p>
    <w:p>
      <w:pPr>
        <w:spacing w:line="36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B.具有高杠杆性和高风险性</w:t>
      </w:r>
    </w:p>
    <w:p>
      <w:pPr>
        <w:spacing w:line="36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C.价值受制于基础性金融工具</w:t>
      </w:r>
    </w:p>
    <w:p>
      <w:pPr>
        <w:spacing w:line="36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D.构造复杂，设计灵活</w:t>
      </w:r>
    </w:p>
    <w:p>
      <w:pPr>
        <w:spacing w:line="36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【答案】A</w:t>
      </w:r>
    </w:p>
    <w:p>
      <w:pPr>
        <w:spacing w:line="36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【解析】金融衍生工具的特点有：价格依赖于基础性金融工具、高杠杆性和高风险性、构造复杂和设计灵活的特点。故选A。</w:t>
      </w:r>
    </w:p>
    <w:p>
      <w:pPr>
        <w:pStyle w:val="18"/>
        <w:numPr>
          <w:ilvl w:val="0"/>
          <w:numId w:val="2"/>
        </w:numPr>
        <w:spacing w:line="360" w:lineRule="exact"/>
        <w:ind w:firstLineChars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在利率体系中，发挥指导性作用的是（  ）。</w:t>
      </w:r>
    </w:p>
    <w:p>
      <w:pPr>
        <w:spacing w:line="36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A.实际利率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B.市场利率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C.一般利率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D.官定利率</w:t>
      </w:r>
    </w:p>
    <w:p>
      <w:pPr>
        <w:spacing w:line="36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【答案】D</w:t>
      </w:r>
    </w:p>
    <w:p>
      <w:pPr>
        <w:spacing w:line="36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【解析】在利率体系中，发挥指导性作用的是官定利率。</w:t>
      </w:r>
    </w:p>
    <w:p>
      <w:pPr>
        <w:pStyle w:val="18"/>
        <w:numPr>
          <w:ilvl w:val="0"/>
          <w:numId w:val="2"/>
        </w:numPr>
        <w:spacing w:line="360" w:lineRule="exact"/>
        <w:ind w:firstLineChars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下列关于票据行为的表述，不正确的是（  ）。</w:t>
      </w:r>
    </w:p>
    <w:p>
      <w:pPr>
        <w:spacing w:line="36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A.承兑适用于汇票和本票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B.背书只能在汇票上进行</w:t>
      </w:r>
    </w:p>
    <w:p>
      <w:pPr>
        <w:spacing w:line="36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C.保证适用于支票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   D.保证仅适用于汇票</w:t>
      </w:r>
    </w:p>
    <w:p>
      <w:pPr>
        <w:spacing w:line="36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【答案】ABCD</w:t>
      </w:r>
    </w:p>
    <w:p>
      <w:pPr>
        <w:spacing w:line="36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【解析】承兑只适用于汇票，保证只适用于汇票和本票，不适用于支票。</w:t>
      </w:r>
    </w:p>
    <w:p>
      <w:pPr>
        <w:pStyle w:val="18"/>
        <w:numPr>
          <w:ilvl w:val="0"/>
          <w:numId w:val="2"/>
        </w:numPr>
        <w:spacing w:line="360" w:lineRule="exact"/>
        <w:ind w:firstLineChars="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期权合约买方可能形成的收益或损失状况是（  ）。</w:t>
      </w:r>
    </w:p>
    <w:p>
      <w:pPr>
        <w:pStyle w:val="18"/>
        <w:spacing w:line="360" w:lineRule="exact"/>
        <w:ind w:firstLine="0" w:firstLineChars="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A.收益无限，损失有限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B.收益无限，损失无限</w:t>
      </w:r>
    </w:p>
    <w:p>
      <w:pPr>
        <w:pStyle w:val="18"/>
        <w:spacing w:line="360" w:lineRule="exact"/>
        <w:ind w:firstLine="0" w:firstLineChars="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C.收益有限，损失有限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D.收益有限，损失无限</w:t>
      </w:r>
    </w:p>
    <w:p>
      <w:pPr>
        <w:pStyle w:val="18"/>
        <w:spacing w:line="360" w:lineRule="exact"/>
        <w:ind w:firstLine="0" w:firstLineChars="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【答案】A</w:t>
      </w:r>
    </w:p>
    <w:p>
      <w:pPr>
        <w:pStyle w:val="18"/>
        <w:spacing w:line="360" w:lineRule="exact"/>
        <w:ind w:firstLine="0" w:firstLineChars="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【解析】期权买方选择执行期权收益无限大，选择不执行期权最大损失为期权费，因此是A。</w:t>
      </w:r>
    </w:p>
    <w:p>
      <w:pPr>
        <w:pStyle w:val="18"/>
        <w:spacing w:line="360" w:lineRule="exact"/>
        <w:ind w:firstLine="0" w:firstLineChars="0"/>
        <w:rPr>
          <w:rFonts w:hint="eastAsia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大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57B9F"/>
    <w:multiLevelType w:val="multilevel"/>
    <w:tmpl w:val="33F57B9F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510CE8"/>
    <w:multiLevelType w:val="multilevel"/>
    <w:tmpl w:val="78510CE8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0A"/>
    <w:rsid w:val="00016CBE"/>
    <w:rsid w:val="001A0B0C"/>
    <w:rsid w:val="001B77C2"/>
    <w:rsid w:val="00555901"/>
    <w:rsid w:val="0057020A"/>
    <w:rsid w:val="00613512"/>
    <w:rsid w:val="006450FB"/>
    <w:rsid w:val="007C3AD2"/>
    <w:rsid w:val="0083636B"/>
    <w:rsid w:val="00A35A1C"/>
    <w:rsid w:val="00AC4398"/>
    <w:rsid w:val="00B9037A"/>
    <w:rsid w:val="00CF723A"/>
    <w:rsid w:val="00E27FAC"/>
    <w:rsid w:val="00EB2EBC"/>
    <w:rsid w:val="00EF5EB6"/>
    <w:rsid w:val="6AA2436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link w:val="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6"/>
    <w:link w:val="2"/>
    <w:uiPriority w:val="9"/>
    <w:rPr>
      <w:b/>
      <w:bCs/>
      <w:kern w:val="44"/>
      <w:sz w:val="44"/>
      <w:szCs w:val="44"/>
    </w:rPr>
  </w:style>
  <w:style w:type="character" w:customStyle="1" w:styleId="9">
    <w:name w:val="标题 4 Char"/>
    <w:basedOn w:val="6"/>
    <w:link w:val="3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0">
    <w:name w:val="请开始答题、题目、选项 Char Char"/>
    <w:link w:val="11"/>
    <w:uiPriority w:val="0"/>
    <w:rPr>
      <w:sz w:val="22"/>
    </w:rPr>
  </w:style>
  <w:style w:type="paragraph" w:customStyle="1" w:styleId="11">
    <w:name w:val="请开始答题、题目、选项"/>
    <w:link w:val="10"/>
    <w:uiPriority w:val="0"/>
    <w:pPr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character" w:customStyle="1" w:styleId="12">
    <w:name w:val="W-请开始答题、题目、选项 Char Char Char"/>
    <w:link w:val="13"/>
    <w:uiPriority w:val="0"/>
  </w:style>
  <w:style w:type="paragraph" w:customStyle="1" w:styleId="13">
    <w:name w:val="W-请开始答题、题目、选项"/>
    <w:link w:val="12"/>
    <w:qFormat/>
    <w:uiPriority w:val="0"/>
    <w:pPr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讲义-一、 Char Char"/>
    <w:link w:val="15"/>
    <w:uiPriority w:val="0"/>
    <w:rPr>
      <w:rFonts w:ascii="方正大黑简体" w:eastAsia="微软雅黑"/>
      <w:sz w:val="28"/>
      <w:szCs w:val="28"/>
    </w:rPr>
  </w:style>
  <w:style w:type="paragraph" w:customStyle="1" w:styleId="15">
    <w:name w:val="讲义-一、"/>
    <w:basedOn w:val="1"/>
    <w:link w:val="14"/>
    <w:qFormat/>
    <w:uiPriority w:val="0"/>
    <w:pPr>
      <w:jc w:val="center"/>
    </w:pPr>
    <w:rPr>
      <w:rFonts w:ascii="方正大黑简体" w:eastAsia="微软雅黑"/>
      <w:sz w:val="28"/>
      <w:szCs w:val="28"/>
    </w:rPr>
  </w:style>
  <w:style w:type="character" w:customStyle="1" w:styleId="16">
    <w:name w:val="讲义-正文 Char Char"/>
    <w:link w:val="17"/>
    <w:uiPriority w:val="0"/>
  </w:style>
  <w:style w:type="paragraph" w:customStyle="1" w:styleId="17">
    <w:name w:val="讲义-正文"/>
    <w:basedOn w:val="1"/>
    <w:link w:val="16"/>
    <w:qFormat/>
    <w:uiPriority w:val="0"/>
    <w:pPr>
      <w:spacing w:line="380" w:lineRule="exact"/>
      <w:ind w:firstLine="400" w:firstLineChars="200"/>
    </w:p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20">
    <w:name w:val="页脚 Char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932</Words>
  <Characters>951</Characters>
  <Lines>95</Lines>
  <Paragraphs>134</Paragraphs>
  <TotalTime>0</TotalTime>
  <ScaleCrop>false</ScaleCrop>
  <LinksUpToDate>false</LinksUpToDate>
  <CharactersWithSpaces>1749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2016-09-07T01:59:00Z</dcterms:created>
  <dc:creator>dqy</dc:creator>
  <cp:lastModifiedBy>Administrator</cp:lastModifiedBy>
  <dcterms:modified xsi:type="dcterms:W3CDTF">2016-09-13T12:35:32Z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