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OLE_LINK6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新津县城乡规划管理局招聘规划管理政府雇员岗位情况表</w:t>
      </w:r>
    </w:p>
    <w:bookmarkEnd w:id="0"/>
    <w:tbl>
      <w:tblPr>
        <w:tblStyle w:val="5"/>
        <w:tblW w:w="13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6"/>
        <w:gridCol w:w="707"/>
        <w:gridCol w:w="1889"/>
        <w:gridCol w:w="1345"/>
        <w:gridCol w:w="7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5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  <w:t>岗位名称</w:t>
            </w:r>
          </w:p>
        </w:tc>
        <w:tc>
          <w:tcPr>
            <w:tcW w:w="70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  <w:t>数量</w:t>
            </w:r>
          </w:p>
        </w:tc>
        <w:tc>
          <w:tcPr>
            <w:tcW w:w="1889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134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759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城乡规划编制岗位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城市规划与设计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全日制硕士研究生以上</w:t>
            </w:r>
          </w:p>
        </w:tc>
        <w:tc>
          <w:tcPr>
            <w:tcW w:w="759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  <w:t>工作职责：主要负责城乡规划编制工作。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能力要求：能独立组织开展总规、控规等法定规划的编制工作，能清晰阐述各类规划的主要内容，能独立开展各类规划专项研究，能完成控规方案绘制或具备较强的快题设计能力。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建筑方案审查岗位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建筑设计及其理论、城市规划与设计专业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全日制硕士研究生以上</w:t>
            </w:r>
          </w:p>
        </w:tc>
        <w:tc>
          <w:tcPr>
            <w:tcW w:w="75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工作职责：主要负责建筑项目规划管理及方案审查工作。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能力要求：熟练掌握城乡规划建设规范性文件内容；能站在城市发展角度，利用已有的建筑方案设计专业背景及相关工作经验，指导和引导项目建筑方案设计修改。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市政工程规划管理岗位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市政工程、桥梁与隧道工程专业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全日制硕士研究生以上</w:t>
            </w:r>
          </w:p>
        </w:tc>
        <w:tc>
          <w:tcPr>
            <w:tcW w:w="75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工作职责：主要负责市政类建设项目规划管理及方案审查工作。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能力要求：能独立牵头开展重大市政设施规划方案编制工作，能清晰阐述相关规划及方案的主要内容，能审查道路、轨道及立交、给排水规划及方案审查，并提出专业性的意见和建议。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B60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2017-10-24T08:48:10Z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