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600" w:lineRule="atLeast"/>
        <w:jc w:val="center"/>
        <w:rPr>
          <w:rFonts w:ascii="Arial" w:hAnsi="Arial" w:eastAsia="宋体" w:cs="Arial"/>
          <w:color w:val="000000"/>
          <w:kern w:val="0"/>
          <w:sz w:val="24"/>
          <w:szCs w:val="24"/>
        </w:rPr>
      </w:pPr>
      <w:r>
        <w:rPr>
          <w:rFonts w:hint="eastAsia" w:ascii="方正小标宋简体" w:hAnsi="Arial" w:eastAsia="方正小标宋简体" w:cs="Arial"/>
          <w:b/>
          <w:bCs/>
          <w:color w:val="000000"/>
          <w:kern w:val="0"/>
          <w:sz w:val="36"/>
        </w:rPr>
        <w:t>天府新区南区产业园</w:t>
      </w:r>
      <w:r>
        <w:rPr>
          <w:rFonts w:ascii="Arial" w:hAnsi="Arial" w:eastAsia="宋体" w:cs="Arial"/>
          <w:b/>
          <w:bCs/>
          <w:color w:val="000000"/>
          <w:kern w:val="0"/>
          <w:sz w:val="24"/>
          <w:szCs w:val="24"/>
        </w:rPr>
        <w:t>—</w:t>
      </w:r>
      <w:r>
        <w:rPr>
          <w:rFonts w:hint="eastAsia" w:ascii="方正小标宋简体" w:hAnsi="Arial" w:eastAsia="方正小标宋简体" w:cs="Arial"/>
          <w:b/>
          <w:bCs/>
          <w:color w:val="000000"/>
          <w:kern w:val="0"/>
          <w:sz w:val="36"/>
        </w:rPr>
        <w:t>四川省成都市新津县面向全国高校公开选聘卫生专业技术人员岗位表</w:t>
      </w:r>
    </w:p>
    <w:p>
      <w:pPr>
        <w:widowControl/>
        <w:spacing w:before="75" w:after="75" w:line="600" w:lineRule="atLeast"/>
        <w:jc w:val="center"/>
        <w:rPr>
          <w:rFonts w:ascii="Arial" w:hAnsi="Arial" w:eastAsia="宋体" w:cs="Arial"/>
          <w:color w:val="000000"/>
          <w:kern w:val="0"/>
          <w:sz w:val="24"/>
          <w:szCs w:val="24"/>
        </w:rPr>
      </w:pPr>
      <w:r>
        <w:rPr>
          <w:rFonts w:ascii="Arial" w:hAnsi="Arial" w:eastAsia="宋体" w:cs="Arial"/>
          <w:b/>
          <w:bCs/>
          <w:color w:val="000000"/>
          <w:kern w:val="0"/>
          <w:sz w:val="24"/>
          <w:szCs w:val="24"/>
        </w:rPr>
        <w:t> </w:t>
      </w:r>
    </w:p>
    <w:tbl>
      <w:tblPr>
        <w:tblStyle w:val="3"/>
        <w:tblW w:w="10839" w:type="dxa"/>
        <w:tblInd w:w="0" w:type="dxa"/>
        <w:tblLayout w:type="fixed"/>
        <w:tblCellMar>
          <w:top w:w="0" w:type="dxa"/>
          <w:left w:w="0" w:type="dxa"/>
          <w:bottom w:w="0" w:type="dxa"/>
          <w:right w:w="0" w:type="dxa"/>
        </w:tblCellMar>
      </w:tblPr>
      <w:tblGrid>
        <w:gridCol w:w="675"/>
        <w:gridCol w:w="1557"/>
        <w:gridCol w:w="1275"/>
        <w:gridCol w:w="3119"/>
        <w:gridCol w:w="1564"/>
        <w:gridCol w:w="1410"/>
        <w:gridCol w:w="1239"/>
      </w:tblGrid>
      <w:tr>
        <w:tblPrEx>
          <w:tblLayout w:type="fixed"/>
          <w:tblCellMar>
            <w:top w:w="0" w:type="dxa"/>
            <w:left w:w="0" w:type="dxa"/>
            <w:bottom w:w="0" w:type="dxa"/>
            <w:right w:w="0" w:type="dxa"/>
          </w:tblCellMar>
        </w:tblPrEx>
        <w:trPr>
          <w:gridAfter w:val="1"/>
          <w:wAfter w:w="1239" w:type="dxa"/>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序号</w:t>
            </w:r>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600" w:lineRule="atLeast"/>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选聘单位</w:t>
            </w:r>
          </w:p>
        </w:tc>
        <w:tc>
          <w:tcPr>
            <w:tcW w:w="12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spacing w:before="240" w:after="240" w:line="600" w:lineRule="atLeast"/>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岗位</w:t>
            </w:r>
          </w:p>
        </w:tc>
        <w:tc>
          <w:tcPr>
            <w:tcW w:w="3119"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600" w:lineRule="atLeast"/>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学历要求</w:t>
            </w:r>
          </w:p>
        </w:tc>
        <w:tc>
          <w:tcPr>
            <w:tcW w:w="156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600" w:lineRule="atLeast"/>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专业要求</w:t>
            </w:r>
          </w:p>
        </w:tc>
        <w:tc>
          <w:tcPr>
            <w:tcW w:w="141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315" w:lineRule="atLeast"/>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选聘人数</w:t>
            </w:r>
          </w:p>
        </w:tc>
      </w:tr>
      <w:tr>
        <w:tblPrEx>
          <w:tblLayout w:type="fixed"/>
          <w:tblCellMar>
            <w:top w:w="0" w:type="dxa"/>
            <w:left w:w="0" w:type="dxa"/>
            <w:bottom w:w="0" w:type="dxa"/>
            <w:right w:w="0" w:type="dxa"/>
          </w:tblCellMar>
        </w:tblPrEx>
        <w:trPr>
          <w:gridAfter w:val="1"/>
          <w:wAfter w:w="1239" w:type="dxa"/>
          <w:trHeight w:val="786" w:hRule="atLeast"/>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w:t>
            </w:r>
          </w:p>
        </w:tc>
        <w:tc>
          <w:tcPr>
            <w:tcW w:w="1557"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新津县人民医院</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儿科医师</w:t>
            </w: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儿科学</w:t>
            </w: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w:t>
            </w:r>
          </w:p>
        </w:tc>
      </w:tr>
      <w:tr>
        <w:tblPrEx>
          <w:tblLayout w:type="fixed"/>
          <w:tblCellMar>
            <w:top w:w="0" w:type="dxa"/>
            <w:left w:w="0" w:type="dxa"/>
            <w:bottom w:w="0" w:type="dxa"/>
            <w:right w:w="0" w:type="dxa"/>
          </w:tblCellMar>
        </w:tblPrEx>
        <w:trPr>
          <w:gridAfter w:val="1"/>
          <w:wAfter w:w="1239" w:type="dxa"/>
          <w:trHeight w:val="835" w:hRule="atLeast"/>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2</w:t>
            </w:r>
          </w:p>
        </w:tc>
        <w:tc>
          <w:tcPr>
            <w:tcW w:w="1557" w:type="dxa"/>
            <w:vMerge w:val="continue"/>
            <w:tcBorders>
              <w:left w:val="nil"/>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神经内科医师</w:t>
            </w: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临床医学</w:t>
            </w: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w:t>
            </w:r>
          </w:p>
        </w:tc>
      </w:tr>
      <w:tr>
        <w:tblPrEx>
          <w:tblLayout w:type="fixed"/>
          <w:tblCellMar>
            <w:top w:w="0" w:type="dxa"/>
            <w:left w:w="0" w:type="dxa"/>
            <w:bottom w:w="0" w:type="dxa"/>
            <w:right w:w="0" w:type="dxa"/>
          </w:tblCellMar>
        </w:tblPrEx>
        <w:trPr>
          <w:gridAfter w:val="1"/>
          <w:wAfter w:w="1239" w:type="dxa"/>
          <w:trHeight w:val="847" w:hRule="atLeast"/>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3</w:t>
            </w:r>
          </w:p>
        </w:tc>
        <w:tc>
          <w:tcPr>
            <w:tcW w:w="1557" w:type="dxa"/>
            <w:vMerge w:val="continue"/>
            <w:tcBorders>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妇产科医师</w:t>
            </w: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临床医学、妇产科学</w:t>
            </w: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2</w:t>
            </w:r>
          </w:p>
        </w:tc>
      </w:tr>
      <w:tr>
        <w:tblPrEx>
          <w:tblLayout w:type="fixed"/>
          <w:tblCellMar>
            <w:top w:w="0" w:type="dxa"/>
            <w:left w:w="0" w:type="dxa"/>
            <w:bottom w:w="0" w:type="dxa"/>
            <w:right w:w="0" w:type="dxa"/>
          </w:tblCellMar>
        </w:tblPrEx>
        <w:trPr>
          <w:trHeight w:val="817" w:hRule="atLeast"/>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4</w:t>
            </w:r>
          </w:p>
        </w:tc>
        <w:tc>
          <w:tcPr>
            <w:tcW w:w="1557"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新津县中医医院</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sz w:val="18"/>
                <w:szCs w:val="18"/>
              </w:rPr>
              <w:t>妇产科</w:t>
            </w:r>
            <w:r>
              <w:rPr>
                <w:rFonts w:hint="eastAsia"/>
                <w:sz w:val="18"/>
                <w:szCs w:val="18"/>
              </w:rPr>
              <w:t>医师</w:t>
            </w: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sz w:val="18"/>
                <w:szCs w:val="18"/>
              </w:rPr>
              <w:t>临床医学</w:t>
            </w:r>
            <w:r>
              <w:rPr>
                <w:rFonts w:hint="eastAsia"/>
                <w:sz w:val="18"/>
                <w:szCs w:val="18"/>
              </w:rPr>
              <w:t>、妇产科学</w:t>
            </w: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2</w:t>
            </w:r>
          </w:p>
        </w:tc>
        <w:tc>
          <w:tcPr>
            <w:tcW w:w="1239" w:type="dxa"/>
            <w:vAlign w:val="center"/>
          </w:tcPr>
          <w:p>
            <w:pPr>
              <w:jc w:val="center"/>
              <w:rPr>
                <w:color w:val="000000"/>
                <w:sz w:val="18"/>
                <w:szCs w:val="18"/>
              </w:rPr>
            </w:pPr>
          </w:p>
        </w:tc>
      </w:tr>
      <w:tr>
        <w:tblPrEx>
          <w:tblLayout w:type="fixed"/>
          <w:tblCellMar>
            <w:top w:w="0" w:type="dxa"/>
            <w:left w:w="0" w:type="dxa"/>
            <w:bottom w:w="0" w:type="dxa"/>
            <w:right w:w="0" w:type="dxa"/>
          </w:tblCellMar>
        </w:tblPrEx>
        <w:trPr>
          <w:trHeight w:val="701" w:hRule="atLeast"/>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5</w:t>
            </w:r>
          </w:p>
        </w:tc>
        <w:tc>
          <w:tcPr>
            <w:tcW w:w="1557" w:type="dxa"/>
            <w:vMerge w:val="continue"/>
            <w:tcBorders>
              <w:left w:val="nil"/>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sz w:val="18"/>
                <w:szCs w:val="18"/>
              </w:rPr>
              <w:t>脑外科</w:t>
            </w:r>
            <w:r>
              <w:rPr>
                <w:rFonts w:hint="eastAsia"/>
                <w:sz w:val="18"/>
                <w:szCs w:val="18"/>
              </w:rPr>
              <w:t>医师</w:t>
            </w: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pPr>
            <w:r>
              <w:rPr>
                <w:sz w:val="18"/>
                <w:szCs w:val="18"/>
              </w:rPr>
              <w:t>临床医学</w:t>
            </w:r>
            <w:r>
              <w:rPr>
                <w:rFonts w:hint="eastAsia"/>
                <w:sz w:val="18"/>
                <w:szCs w:val="18"/>
              </w:rPr>
              <w:t>、外科学</w:t>
            </w: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w:t>
            </w:r>
          </w:p>
        </w:tc>
        <w:tc>
          <w:tcPr>
            <w:tcW w:w="1239" w:type="dxa"/>
            <w:vAlign w:val="center"/>
          </w:tcPr>
          <w:p>
            <w:pPr>
              <w:jc w:val="center"/>
              <w:rPr>
                <w:color w:val="000000"/>
                <w:sz w:val="18"/>
                <w:szCs w:val="18"/>
              </w:rPr>
            </w:pPr>
          </w:p>
        </w:tc>
      </w:tr>
      <w:tr>
        <w:tblPrEx>
          <w:tblLayout w:type="fixed"/>
          <w:tblCellMar>
            <w:top w:w="0" w:type="dxa"/>
            <w:left w:w="0" w:type="dxa"/>
            <w:bottom w:w="0" w:type="dxa"/>
            <w:right w:w="0" w:type="dxa"/>
          </w:tblCellMar>
        </w:tblPrEx>
        <w:trPr>
          <w:trHeight w:val="839" w:hRule="atLeast"/>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6</w:t>
            </w:r>
          </w:p>
        </w:tc>
        <w:tc>
          <w:tcPr>
            <w:tcW w:w="1557" w:type="dxa"/>
            <w:vMerge w:val="continue"/>
            <w:tcBorders>
              <w:left w:val="nil"/>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sz w:val="18"/>
                <w:szCs w:val="18"/>
              </w:rPr>
              <w:t>胸外科</w:t>
            </w:r>
            <w:r>
              <w:rPr>
                <w:rFonts w:hint="eastAsia"/>
                <w:sz w:val="18"/>
                <w:szCs w:val="18"/>
              </w:rPr>
              <w:t>医师</w:t>
            </w: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pPr>
            <w:r>
              <w:rPr>
                <w:sz w:val="18"/>
                <w:szCs w:val="18"/>
              </w:rPr>
              <w:t>临床医学</w:t>
            </w:r>
            <w:r>
              <w:rPr>
                <w:rFonts w:hint="eastAsia"/>
                <w:sz w:val="18"/>
                <w:szCs w:val="18"/>
              </w:rPr>
              <w:t>、外科学</w:t>
            </w: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w:t>
            </w:r>
          </w:p>
        </w:tc>
        <w:tc>
          <w:tcPr>
            <w:tcW w:w="1239" w:type="dxa"/>
            <w:vAlign w:val="center"/>
          </w:tcPr>
          <w:p>
            <w:pPr>
              <w:jc w:val="center"/>
              <w:rPr>
                <w:color w:val="000000"/>
                <w:sz w:val="18"/>
                <w:szCs w:val="18"/>
              </w:rPr>
            </w:pPr>
          </w:p>
        </w:tc>
      </w:tr>
      <w:tr>
        <w:tblPrEx>
          <w:tblLayout w:type="fixed"/>
          <w:tblCellMar>
            <w:top w:w="0" w:type="dxa"/>
            <w:left w:w="0" w:type="dxa"/>
            <w:bottom w:w="0" w:type="dxa"/>
            <w:right w:w="0" w:type="dxa"/>
          </w:tblCellMar>
        </w:tblPrEx>
        <w:trPr>
          <w:trHeight w:val="576" w:hRule="atLeast"/>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7</w:t>
            </w:r>
          </w:p>
        </w:tc>
        <w:tc>
          <w:tcPr>
            <w:tcW w:w="1557" w:type="dxa"/>
            <w:vMerge w:val="continue"/>
            <w:tcBorders>
              <w:left w:val="nil"/>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sz w:val="18"/>
                <w:szCs w:val="18"/>
              </w:rPr>
              <w:t>儿科</w:t>
            </w:r>
            <w:r>
              <w:rPr>
                <w:rFonts w:hint="eastAsia"/>
                <w:sz w:val="18"/>
                <w:szCs w:val="18"/>
              </w:rPr>
              <w:t>医师</w:t>
            </w: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sz w:val="18"/>
                <w:szCs w:val="18"/>
              </w:rPr>
              <w:t>儿科学</w:t>
            </w: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2</w:t>
            </w:r>
          </w:p>
        </w:tc>
        <w:tc>
          <w:tcPr>
            <w:tcW w:w="1239" w:type="dxa"/>
            <w:vAlign w:val="center"/>
          </w:tcPr>
          <w:p>
            <w:pPr>
              <w:jc w:val="center"/>
              <w:rPr>
                <w:color w:val="000000"/>
                <w:sz w:val="18"/>
                <w:szCs w:val="18"/>
              </w:rPr>
            </w:pPr>
          </w:p>
        </w:tc>
      </w:tr>
      <w:tr>
        <w:tblPrEx>
          <w:tblLayout w:type="fixed"/>
          <w:tblCellMar>
            <w:top w:w="0" w:type="dxa"/>
            <w:left w:w="0" w:type="dxa"/>
            <w:bottom w:w="0" w:type="dxa"/>
            <w:right w:w="0" w:type="dxa"/>
          </w:tblCellMar>
        </w:tblPrEx>
        <w:trPr>
          <w:trHeight w:val="775" w:hRule="atLeast"/>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8</w:t>
            </w:r>
          </w:p>
        </w:tc>
        <w:tc>
          <w:tcPr>
            <w:tcW w:w="1557" w:type="dxa"/>
            <w:vMerge w:val="continue"/>
            <w:tcBorders>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sz w:val="18"/>
                <w:szCs w:val="18"/>
              </w:rPr>
              <w:t>ICU</w:t>
            </w:r>
            <w:r>
              <w:rPr>
                <w:rFonts w:hint="eastAsia"/>
                <w:sz w:val="18"/>
                <w:szCs w:val="18"/>
              </w:rPr>
              <w:t>医师</w:t>
            </w: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sz w:val="18"/>
                <w:szCs w:val="18"/>
              </w:rPr>
              <w:t>临床医学</w:t>
            </w:r>
            <w:r>
              <w:rPr>
                <w:rFonts w:hint="eastAsia"/>
                <w:sz w:val="18"/>
                <w:szCs w:val="18"/>
              </w:rPr>
              <w:t>、急诊医学</w:t>
            </w: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w:t>
            </w:r>
          </w:p>
        </w:tc>
        <w:tc>
          <w:tcPr>
            <w:tcW w:w="1239" w:type="dxa"/>
            <w:vAlign w:val="center"/>
          </w:tcPr>
          <w:p>
            <w:pPr>
              <w:jc w:val="center"/>
              <w:rPr>
                <w:color w:val="000000"/>
                <w:sz w:val="18"/>
                <w:szCs w:val="18"/>
              </w:rPr>
            </w:pPr>
          </w:p>
        </w:tc>
      </w:tr>
      <w:tr>
        <w:tblPrEx>
          <w:tblLayout w:type="fixed"/>
          <w:tblCellMar>
            <w:top w:w="0" w:type="dxa"/>
            <w:left w:w="0" w:type="dxa"/>
            <w:bottom w:w="0" w:type="dxa"/>
            <w:right w:w="0" w:type="dxa"/>
          </w:tblCellMar>
        </w:tblPrEx>
        <w:trPr>
          <w:gridAfter w:val="1"/>
          <w:wAfter w:w="1239" w:type="dxa"/>
          <w:trHeight w:val="1378" w:hRule="atLeast"/>
        </w:trPr>
        <w:tc>
          <w:tcPr>
            <w:tcW w:w="675" w:type="dxa"/>
            <w:tcBorders>
              <w:top w:val="nil"/>
              <w:left w:val="single" w:color="000000" w:sz="6" w:space="0"/>
              <w:bottom w:val="single" w:color="auto" w:sz="4" w:space="0"/>
              <w:right w:val="single" w:color="000000" w:sz="6" w:space="0"/>
            </w:tcBorders>
            <w:shd w:val="clear" w:color="auto" w:fill="auto"/>
            <w:tcMar>
              <w:top w:w="0" w:type="dxa"/>
              <w:left w:w="105" w:type="dxa"/>
              <w:bottom w:w="0" w:type="dxa"/>
              <w:right w:w="105" w:type="dxa"/>
            </w:tcMar>
          </w:tcPr>
          <w:p>
            <w:pPr>
              <w:widowControl/>
              <w:spacing w:before="240" w:after="240" w:line="600" w:lineRule="atLeast"/>
              <w:rPr>
                <w:rFonts w:ascii="Arial" w:hAnsi="Arial" w:eastAsia="宋体" w:cs="Arial"/>
                <w:color w:val="000000"/>
                <w:kern w:val="0"/>
                <w:sz w:val="24"/>
                <w:szCs w:val="24"/>
              </w:rPr>
            </w:pPr>
            <w:r>
              <w:rPr>
                <w:rFonts w:hint="eastAsia" w:ascii="Arial" w:hAnsi="Arial" w:eastAsia="宋体" w:cs="Arial"/>
                <w:color w:val="000000"/>
                <w:kern w:val="0"/>
                <w:sz w:val="24"/>
                <w:szCs w:val="24"/>
              </w:rPr>
              <w:t>9</w:t>
            </w:r>
          </w:p>
        </w:tc>
        <w:tc>
          <w:tcPr>
            <w:tcW w:w="1557"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ascii="Arial" w:hAnsi="Arial" w:eastAsia="宋体" w:cs="Arial"/>
                <w:color w:val="000000"/>
                <w:kern w:val="0"/>
                <w:sz w:val="24"/>
                <w:szCs w:val="24"/>
              </w:rPr>
              <w:t>120</w:t>
            </w:r>
            <w:r>
              <w:rPr>
                <w:rFonts w:hint="eastAsia" w:ascii="Arial" w:hAnsi="Arial" w:eastAsia="宋体" w:cs="Arial"/>
                <w:color w:val="000000"/>
                <w:kern w:val="0"/>
                <w:sz w:val="24"/>
                <w:szCs w:val="24"/>
              </w:rPr>
              <w:t>急救指挥中心</w:t>
            </w:r>
          </w:p>
        </w:tc>
        <w:tc>
          <w:tcPr>
            <w:tcW w:w="1275"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center"/>
              <w:rPr>
                <w:sz w:val="18"/>
                <w:szCs w:val="18"/>
              </w:rPr>
            </w:pPr>
            <w:r>
              <w:rPr>
                <w:rFonts w:hint="eastAsia"/>
                <w:sz w:val="18"/>
                <w:szCs w:val="18"/>
              </w:rPr>
              <w:t>卫生事业管理</w:t>
            </w:r>
          </w:p>
        </w:tc>
        <w:tc>
          <w:tcPr>
            <w:tcW w:w="3119"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r>
              <w:rPr>
                <w:rFonts w:hint="eastAsia"/>
                <w:sz w:val="18"/>
                <w:szCs w:val="18"/>
              </w:rPr>
              <w:t>全日制普通高校本科及以上学历取得相应学位</w:t>
            </w:r>
          </w:p>
          <w:p>
            <w:pPr>
              <w:jc w:val="center"/>
              <w:rPr>
                <w:rFonts w:hint="eastAsia"/>
                <w:sz w:val="18"/>
                <w:szCs w:val="18"/>
              </w:rPr>
            </w:pPr>
          </w:p>
        </w:tc>
        <w:tc>
          <w:tcPr>
            <w:tcW w:w="1564"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社会医学与卫生事业管理、卫生事业管理</w:t>
            </w:r>
          </w:p>
        </w:tc>
        <w:tc>
          <w:tcPr>
            <w:tcW w:w="1410"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r>
      <w:tr>
        <w:tblPrEx>
          <w:tblLayout w:type="fixed"/>
          <w:tblCellMar>
            <w:top w:w="0" w:type="dxa"/>
            <w:left w:w="0" w:type="dxa"/>
            <w:bottom w:w="0" w:type="dxa"/>
            <w:right w:w="0" w:type="dxa"/>
          </w:tblCellMar>
        </w:tblPrEx>
        <w:trPr>
          <w:gridAfter w:val="1"/>
          <w:wAfter w:w="1239" w:type="dxa"/>
          <w:trHeight w:val="831" w:hRule="atLeast"/>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10</w:t>
            </w:r>
          </w:p>
        </w:tc>
        <w:tc>
          <w:tcPr>
            <w:tcW w:w="1557"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新津县妇幼保健院</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口腔医师</w:t>
            </w:r>
          </w:p>
        </w:tc>
        <w:tc>
          <w:tcPr>
            <w:tcW w:w="31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临床医学、口腔医学</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r>
      <w:tr>
        <w:tblPrEx>
          <w:tblLayout w:type="fixed"/>
          <w:tblCellMar>
            <w:top w:w="0" w:type="dxa"/>
            <w:left w:w="0" w:type="dxa"/>
            <w:bottom w:w="0" w:type="dxa"/>
            <w:right w:w="0" w:type="dxa"/>
          </w:tblCellMar>
        </w:tblPrEx>
        <w:trPr>
          <w:gridAfter w:val="1"/>
          <w:wAfter w:w="1239" w:type="dxa"/>
          <w:trHeight w:val="787" w:hRule="atLeast"/>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11</w:t>
            </w:r>
          </w:p>
        </w:tc>
        <w:tc>
          <w:tcPr>
            <w:tcW w:w="1557"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sz w:val="18"/>
                <w:szCs w:val="18"/>
              </w:rPr>
            </w:pPr>
            <w:r>
              <w:rPr>
                <w:sz w:val="18"/>
                <w:szCs w:val="18"/>
              </w:rPr>
              <w:t>B</w:t>
            </w:r>
            <w:r>
              <w:rPr>
                <w:rFonts w:hint="eastAsia"/>
                <w:sz w:val="18"/>
                <w:szCs w:val="18"/>
              </w:rPr>
              <w:t>超医师</w:t>
            </w:r>
          </w:p>
        </w:tc>
        <w:tc>
          <w:tcPr>
            <w:tcW w:w="31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医学影像</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r>
      <w:tr>
        <w:tblPrEx>
          <w:tblLayout w:type="fixed"/>
          <w:tblCellMar>
            <w:top w:w="0" w:type="dxa"/>
            <w:left w:w="0" w:type="dxa"/>
            <w:bottom w:w="0" w:type="dxa"/>
            <w:right w:w="0" w:type="dxa"/>
          </w:tblCellMar>
        </w:tblPrEx>
        <w:trPr>
          <w:gridAfter w:val="1"/>
          <w:wAfter w:w="1239" w:type="dxa"/>
          <w:trHeight w:val="869" w:hRule="atLeast"/>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12</w:t>
            </w:r>
          </w:p>
        </w:tc>
        <w:tc>
          <w:tcPr>
            <w:tcW w:w="1557" w:type="dxa"/>
            <w:tcBorders>
              <w:top w:val="single" w:color="auto" w:sz="4" w:space="0"/>
              <w:left w:val="single" w:color="auto" w:sz="4"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p>
        </w:tc>
        <w:tc>
          <w:tcPr>
            <w:tcW w:w="1275" w:type="dxa"/>
            <w:tcBorders>
              <w:top w:val="single" w:color="auto" w:sz="4" w:space="0"/>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放射科医师</w:t>
            </w:r>
          </w:p>
        </w:tc>
        <w:tc>
          <w:tcPr>
            <w:tcW w:w="31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bottom"/>
          </w:tcPr>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医学影像</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r>
      <w:tr>
        <w:tblPrEx>
          <w:tblLayout w:type="fixed"/>
          <w:tblCellMar>
            <w:top w:w="0" w:type="dxa"/>
            <w:left w:w="0" w:type="dxa"/>
            <w:bottom w:w="0" w:type="dxa"/>
            <w:right w:w="0" w:type="dxa"/>
          </w:tblCellMar>
        </w:tblPrEx>
        <w:trPr>
          <w:gridAfter w:val="1"/>
          <w:wAfter w:w="1239" w:type="dxa"/>
          <w:trHeight w:val="1035" w:hRule="atLeast"/>
        </w:trPr>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240" w:after="240" w:line="315" w:lineRule="atLeast"/>
              <w:ind w:firstLine="105"/>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13</w:t>
            </w:r>
          </w:p>
        </w:tc>
        <w:tc>
          <w:tcPr>
            <w:tcW w:w="1557" w:type="dxa"/>
            <w:tcBorders>
              <w:left w:val="single" w:color="auto" w:sz="4"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新津县妇幼保健院</w:t>
            </w:r>
          </w:p>
        </w:tc>
        <w:tc>
          <w:tcPr>
            <w:tcW w:w="1275" w:type="dxa"/>
            <w:tcBorders>
              <w:top w:val="single" w:color="auto" w:sz="4" w:space="0"/>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妇产科医师</w:t>
            </w:r>
          </w:p>
        </w:tc>
        <w:tc>
          <w:tcPr>
            <w:tcW w:w="31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bottom"/>
          </w:tcPr>
          <w:p>
            <w:pPr>
              <w:ind w:firstLine="180" w:firstLineChars="100"/>
              <w:jc w:val="both"/>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临床医学、妇产科学</w:t>
            </w:r>
          </w:p>
        </w:tc>
        <w:tc>
          <w:tcPr>
            <w:tcW w:w="141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r>
      <w:tr>
        <w:tblPrEx>
          <w:tblLayout w:type="fixed"/>
          <w:tblCellMar>
            <w:top w:w="0" w:type="dxa"/>
            <w:left w:w="0" w:type="dxa"/>
            <w:bottom w:w="0" w:type="dxa"/>
            <w:right w:w="0" w:type="dxa"/>
          </w:tblCellMar>
        </w:tblPrEx>
        <w:trPr>
          <w:gridAfter w:val="1"/>
          <w:wAfter w:w="1239" w:type="dxa"/>
        </w:trPr>
        <w:tc>
          <w:tcPr>
            <w:tcW w:w="675" w:type="dxa"/>
            <w:tcBorders>
              <w:top w:val="single" w:color="auto" w:sz="4"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14</w:t>
            </w:r>
          </w:p>
        </w:tc>
        <w:tc>
          <w:tcPr>
            <w:tcW w:w="1557" w:type="dxa"/>
            <w:tcBorders>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75"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儿科医师</w:t>
            </w:r>
          </w:p>
        </w:tc>
        <w:tc>
          <w:tcPr>
            <w:tcW w:w="3119"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儿科学</w:t>
            </w:r>
          </w:p>
        </w:tc>
        <w:tc>
          <w:tcPr>
            <w:tcW w:w="1410" w:type="dxa"/>
            <w:tcBorders>
              <w:top w:val="single" w:color="auto" w:sz="4"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r>
      <w:tr>
        <w:tblPrEx>
          <w:tblLayout w:type="fixed"/>
          <w:tblCellMar>
            <w:top w:w="0" w:type="dxa"/>
            <w:left w:w="0" w:type="dxa"/>
            <w:bottom w:w="0" w:type="dxa"/>
            <w:right w:w="0" w:type="dxa"/>
          </w:tblCellMar>
        </w:tblPrEx>
        <w:trPr>
          <w:gridAfter w:val="1"/>
          <w:wAfter w:w="1239" w:type="dxa"/>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15</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40" w:lineRule="exact"/>
              <w:jc w:val="center"/>
              <w:rPr>
                <w:rFonts w:ascii="Arial" w:hAnsi="Arial" w:eastAsia="宋体" w:cs="Arial"/>
                <w:color w:val="000000"/>
                <w:kern w:val="0"/>
                <w:sz w:val="24"/>
                <w:szCs w:val="24"/>
              </w:rPr>
            </w:pPr>
            <w:r>
              <w:rPr>
                <w:rFonts w:hint="eastAsia" w:ascii="Arial" w:hAnsi="Arial" w:eastAsia="宋体" w:cs="Arial"/>
                <w:color w:val="000000"/>
                <w:kern w:val="0"/>
                <w:sz w:val="24"/>
                <w:szCs w:val="24"/>
              </w:rPr>
              <w:t>新津县精神病医院</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精神科医生</w:t>
            </w: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p>
            <w:pPr>
              <w:jc w:val="center"/>
              <w:rPr>
                <w:rFonts w:hint="eastAsia"/>
                <w:sz w:val="18"/>
                <w:szCs w:val="18"/>
              </w:rPr>
            </w:pPr>
            <w:r>
              <w:rPr>
                <w:rFonts w:hint="eastAsia"/>
                <w:sz w:val="18"/>
                <w:szCs w:val="18"/>
              </w:rPr>
              <w:t>全日制普通高校本科及以上学历</w:t>
            </w:r>
          </w:p>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jc w:val="center"/>
              <w:rPr>
                <w:sz w:val="18"/>
                <w:szCs w:val="18"/>
              </w:rPr>
            </w:pPr>
            <w:r>
              <w:rPr>
                <w:rFonts w:hint="eastAsia"/>
                <w:sz w:val="18"/>
                <w:szCs w:val="18"/>
              </w:rPr>
              <w:t>临床医学、精神病与精神卫生学</w:t>
            </w: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r>
      <w:tr>
        <w:tblPrEx>
          <w:tblLayout w:type="fixed"/>
          <w:tblCellMar>
            <w:top w:w="0" w:type="dxa"/>
            <w:left w:w="0" w:type="dxa"/>
            <w:bottom w:w="0" w:type="dxa"/>
            <w:right w:w="0" w:type="dxa"/>
          </w:tblCellMar>
        </w:tblPrEx>
        <w:trPr>
          <w:gridAfter w:val="1"/>
          <w:wAfter w:w="1239" w:type="dxa"/>
          <w:trHeight w:val="585" w:hRule="atLeast"/>
        </w:trPr>
        <w:tc>
          <w:tcPr>
            <w:tcW w:w="67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hint="eastAsia" w:ascii="Arial" w:hAnsi="Arial" w:eastAsia="宋体" w:cs="Arial"/>
                <w:b/>
                <w:bCs/>
                <w:color w:val="000000"/>
                <w:kern w:val="0"/>
                <w:sz w:val="24"/>
                <w:szCs w:val="24"/>
              </w:rPr>
              <w:t>16</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合计</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11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pPr>
              <w:jc w:val="center"/>
              <w:rPr>
                <w:rFonts w:hint="eastAsia"/>
                <w:sz w:val="18"/>
                <w:szCs w:val="18"/>
              </w:rPr>
            </w:pPr>
          </w:p>
        </w:tc>
        <w:tc>
          <w:tcPr>
            <w:tcW w:w="156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1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240" w:after="240" w:line="315" w:lineRule="atLeast"/>
              <w:jc w:val="center"/>
              <w:rPr>
                <w:rFonts w:ascii="Arial" w:hAnsi="Arial" w:eastAsia="宋体" w:cs="Arial"/>
                <w:color w:val="000000"/>
                <w:kern w:val="0"/>
                <w:sz w:val="24"/>
                <w:szCs w:val="24"/>
              </w:rPr>
            </w:pPr>
            <w:r>
              <w:rPr>
                <w:rFonts w:hint="eastAsia" w:ascii="Arial" w:hAnsi="Arial" w:eastAsia="宋体" w:cs="Arial"/>
                <w:b/>
                <w:bCs/>
                <w:color w:val="000000"/>
                <w:kern w:val="0"/>
                <w:sz w:val="24"/>
                <w:szCs w:val="24"/>
              </w:rPr>
              <w:t>19</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616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QHTF</dc:creator>
  <cp:lastModifiedBy>QHTF</cp:lastModifiedBy>
  <dcterms:modified xsi:type="dcterms:W3CDTF">2017-11-20T02:53:32Z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