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5B" w:rsidRDefault="00DA6B5B" w:rsidP="00DA6B5B">
      <w:pPr>
        <w:spacing w:line="340" w:lineRule="exact"/>
        <w:rPr>
          <w:rFonts w:ascii="方正黑体简体" w:eastAsia="方正黑体简体" w:hAnsi="方正仿宋简体" w:cs="方正仿宋简体"/>
          <w:sz w:val="32"/>
        </w:rPr>
      </w:pPr>
      <w:r>
        <w:rPr>
          <w:rFonts w:ascii="方正黑体简体" w:eastAsia="方正黑体简体" w:hAnsi="方正仿宋简体" w:cs="方正仿宋简体" w:hint="eastAsia"/>
          <w:sz w:val="32"/>
        </w:rPr>
        <w:t>附件2</w:t>
      </w:r>
    </w:p>
    <w:p w:rsidR="00DA6B5B" w:rsidRPr="00101A06" w:rsidRDefault="00DA6B5B" w:rsidP="00DA6B5B">
      <w:pPr>
        <w:spacing w:line="340" w:lineRule="exact"/>
        <w:rPr>
          <w:rFonts w:ascii="方正黑体简体" w:eastAsia="方正黑体简体" w:hAnsi="方正仿宋简体" w:cs="方正仿宋简体"/>
          <w:sz w:val="32"/>
        </w:rPr>
      </w:pPr>
    </w:p>
    <w:p w:rsidR="00DA6B5B" w:rsidRDefault="00DA6B5B" w:rsidP="00DA6B5B">
      <w:pPr>
        <w:spacing w:line="560" w:lineRule="exact"/>
        <w:jc w:val="center"/>
        <w:rPr>
          <w:rFonts w:ascii="方正小标宋简体" w:eastAsia="方正小标宋简体"/>
          <w:spacing w:val="-20"/>
          <w:w w:val="90"/>
          <w:sz w:val="44"/>
          <w:szCs w:val="44"/>
        </w:rPr>
      </w:pPr>
      <w:r w:rsidRPr="00101A06">
        <w:rPr>
          <w:rFonts w:ascii="方正小标宋简体" w:eastAsia="方正小标宋简体" w:hint="eastAsia"/>
          <w:spacing w:val="-20"/>
          <w:w w:val="90"/>
          <w:sz w:val="44"/>
          <w:szCs w:val="44"/>
        </w:rPr>
        <w:t>成都市青白江区2018年面向区外考核招聘高层次卫生专业技术人才岗位表</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896"/>
        <w:gridCol w:w="992"/>
        <w:gridCol w:w="1403"/>
        <w:gridCol w:w="844"/>
        <w:gridCol w:w="1418"/>
        <w:gridCol w:w="1984"/>
        <w:gridCol w:w="5394"/>
      </w:tblGrid>
      <w:tr w:rsidR="00DA6B5B" w:rsidRPr="003B03CA" w:rsidTr="007F5F04">
        <w:trPr>
          <w:trHeight w:hRule="exact" w:val="586"/>
          <w:jc w:val="center"/>
        </w:trPr>
        <w:tc>
          <w:tcPr>
            <w:tcW w:w="808" w:type="dxa"/>
            <w:shd w:val="clear" w:color="auto" w:fill="auto"/>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序号</w:t>
            </w:r>
          </w:p>
        </w:tc>
        <w:tc>
          <w:tcPr>
            <w:tcW w:w="1896" w:type="dxa"/>
            <w:shd w:val="clear" w:color="auto" w:fill="auto"/>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单位</w:t>
            </w:r>
          </w:p>
        </w:tc>
        <w:tc>
          <w:tcPr>
            <w:tcW w:w="992" w:type="dxa"/>
            <w:shd w:val="clear" w:color="auto" w:fill="auto"/>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岗位</w:t>
            </w:r>
          </w:p>
        </w:tc>
        <w:tc>
          <w:tcPr>
            <w:tcW w:w="1403" w:type="dxa"/>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专业</w:t>
            </w:r>
          </w:p>
        </w:tc>
        <w:tc>
          <w:tcPr>
            <w:tcW w:w="844" w:type="dxa"/>
            <w:shd w:val="clear" w:color="auto" w:fill="auto"/>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人数</w:t>
            </w:r>
          </w:p>
        </w:tc>
        <w:tc>
          <w:tcPr>
            <w:tcW w:w="1418" w:type="dxa"/>
            <w:shd w:val="clear" w:color="auto" w:fill="auto"/>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学历</w:t>
            </w:r>
          </w:p>
        </w:tc>
        <w:tc>
          <w:tcPr>
            <w:tcW w:w="1984" w:type="dxa"/>
            <w:shd w:val="clear" w:color="auto" w:fill="auto"/>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职称</w:t>
            </w:r>
          </w:p>
        </w:tc>
        <w:tc>
          <w:tcPr>
            <w:tcW w:w="5394" w:type="dxa"/>
            <w:shd w:val="clear" w:color="auto" w:fill="auto"/>
            <w:vAlign w:val="center"/>
          </w:tcPr>
          <w:p w:rsidR="00DA6B5B" w:rsidRPr="003B03CA" w:rsidRDefault="00DA6B5B" w:rsidP="007F5F04">
            <w:pPr>
              <w:spacing w:line="400" w:lineRule="exact"/>
              <w:jc w:val="center"/>
              <w:rPr>
                <w:rFonts w:ascii="方正黑体简体" w:eastAsia="方正黑体简体"/>
                <w:sz w:val="28"/>
                <w:szCs w:val="28"/>
              </w:rPr>
            </w:pPr>
            <w:r w:rsidRPr="003B03CA">
              <w:rPr>
                <w:rFonts w:ascii="方正黑体简体" w:eastAsia="方正黑体简体" w:hint="eastAsia"/>
                <w:sz w:val="28"/>
                <w:szCs w:val="28"/>
              </w:rPr>
              <w:t>其他条件</w:t>
            </w:r>
          </w:p>
        </w:tc>
      </w:tr>
      <w:tr w:rsidR="00DA6B5B" w:rsidRPr="003B03CA" w:rsidTr="007F5F04">
        <w:trPr>
          <w:trHeight w:hRule="exact" w:val="1972"/>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2"/>
              </w:rPr>
            </w:pPr>
            <w:r w:rsidRPr="003B03CA">
              <w:rPr>
                <w:rFonts w:ascii="方正仿宋简体" w:eastAsia="方正仿宋简体" w:hAnsi="方正仿宋简体" w:cs="方正仿宋简体" w:hint="eastAsia"/>
                <w:szCs w:val="21"/>
              </w:rPr>
              <w:t>1</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眼科</w:t>
            </w:r>
          </w:p>
        </w:tc>
        <w:tc>
          <w:tcPr>
            <w:tcW w:w="1403" w:type="dxa"/>
            <w:vAlign w:val="center"/>
          </w:tcPr>
          <w:p w:rsidR="00DA6B5B" w:rsidRPr="003B03CA" w:rsidRDefault="00DA6B5B" w:rsidP="007F5F04">
            <w:pPr>
              <w:spacing w:line="360" w:lineRule="exact"/>
              <w:ind w:leftChars="-50" w:left="-105" w:firstLineChars="50" w:firstLine="105"/>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1.有不少于三年三级乙等及以上综合医院眼科工作经验，取得全日制硕士研究生及以上学历人员可以放宽至不少于三年二级甲等综合医院工作经验；</w:t>
            </w:r>
          </w:p>
          <w:p w:rsidR="00DA6B5B" w:rsidRPr="003B03CA" w:rsidRDefault="00DA6B5B" w:rsidP="007F5F04">
            <w:pPr>
              <w:spacing w:line="240" w:lineRule="exact"/>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2.取得全日制博士研究生毕业证书和博士学位证书的，可将职称放宽至主治医师；</w:t>
            </w:r>
          </w:p>
          <w:p w:rsidR="00DA6B5B" w:rsidRPr="003B03CA" w:rsidRDefault="00DA6B5B" w:rsidP="007F5F04">
            <w:pPr>
              <w:spacing w:line="240" w:lineRule="exact"/>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 w:val="22"/>
              </w:rPr>
              <w:t>3</w:t>
            </w:r>
            <w:r w:rsidRPr="003B03CA">
              <w:rPr>
                <w:rFonts w:ascii="方正仿宋简体" w:eastAsia="方正仿宋简体" w:hAnsi="方正仿宋简体" w:cs="方正仿宋简体"/>
                <w:sz w:val="22"/>
              </w:rPr>
              <w:t>.</w:t>
            </w:r>
            <w:r w:rsidRPr="003B03CA">
              <w:rPr>
                <w:rFonts w:ascii="方正仿宋简体" w:eastAsia="方正仿宋简体" w:hAnsi="方正仿宋简体" w:cs="方正仿宋简体" w:hint="eastAsia"/>
                <w:szCs w:val="21"/>
              </w:rPr>
              <w:t xml:space="preserve">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月1日以后出生）；其中，女性应聘者应保证在应聘单位工作十周年及以上。</w:t>
            </w:r>
          </w:p>
        </w:tc>
      </w:tr>
      <w:tr w:rsidR="00DA6B5B" w:rsidRPr="003B03CA" w:rsidTr="007F5F04">
        <w:trPr>
          <w:trHeight w:hRule="exact" w:val="2265"/>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心血管内科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1.有不少于三年三级乙等及以上综合医院心血管内科工作经验，取得全日制硕士研究生及以上学历人员可以放宽至不少于三年二级甲等综合医院工作经验；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2.能独立完成心血管综合介入手术；</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sz w:val="22"/>
              </w:rPr>
              <w:t>4.</w:t>
            </w:r>
            <w:r w:rsidRPr="003B03CA">
              <w:rPr>
                <w:rFonts w:ascii="方正仿宋简体" w:eastAsia="方正仿宋简体" w:hAnsi="方正仿宋简体" w:cs="方正仿宋简体" w:hint="eastAsia"/>
                <w:szCs w:val="21"/>
              </w:rPr>
              <w:t xml:space="preserve">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2412"/>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超声科医生</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1.有不少于三年三级乙等及以上综合医院超声科工作经验，取得全日制硕士研究生及以上学历人员可以放宽至不少于三年二级甲等综合医院工作经验；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2.能独立完成介入超声、肌骨超声、超声造影、心脏超声等；</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 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sz w:val="22"/>
              </w:rPr>
              <w:t>4.</w:t>
            </w:r>
            <w:r w:rsidRPr="003B03CA">
              <w:rPr>
                <w:rFonts w:ascii="方正仿宋简体" w:eastAsia="方正仿宋简体" w:hAnsi="方正仿宋简体" w:cs="方正仿宋简体" w:hint="eastAsia"/>
                <w:szCs w:val="21"/>
              </w:rPr>
              <w:t xml:space="preserve">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2412"/>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lastRenderedPageBreak/>
              <w:t>4</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呼吸内科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1.有不少于三年三级乙等及以上综合医院呼吸内科工作经验，取得全日制硕士研究生及以上学历人员可以放宽至不少于三年二级甲等综合医院工作经验；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2.能独立完成支气管纤支镜手术，擅长呼吸科疑难重症诊治；</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sz w:val="22"/>
              </w:rPr>
              <w:t>4.</w:t>
            </w:r>
            <w:r w:rsidRPr="003B03CA">
              <w:rPr>
                <w:rFonts w:ascii="方正仿宋简体" w:eastAsia="方正仿宋简体" w:hAnsi="方正仿宋简体" w:cs="方正仿宋简体" w:hint="eastAsia"/>
                <w:szCs w:val="21"/>
              </w:rPr>
              <w:t xml:space="preserve">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2275"/>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5</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妇产科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1.有不少于三年三级乙等及以上综合医院妇产科工作经验，取得全日制硕士研究生及以上学历人员可以放宽至不少于三年二级甲等综合医院工作经验；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2.能独立完成妇科腔镜手术，擅长妇产科疑难重症诊治。</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sz w:val="22"/>
              </w:rPr>
              <w:t>4.</w:t>
            </w: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2113"/>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6</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麻醉</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r>
              <w:rPr>
                <w:rFonts w:ascii="方正仿宋简体" w:eastAsia="方正仿宋简体" w:hAnsi="方正仿宋简体" w:cs="方正仿宋简体" w:hint="eastAsia"/>
                <w:szCs w:val="21"/>
              </w:rPr>
              <w:t>、麻醉学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1.有不少于三年三级乙等及以上综合医院麻醉科工作经验，取得全日制硕士研究生及以上学历人员可以放宽至不少于三年二级甲等综合医院工作经验；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 w:val="22"/>
              </w:rPr>
              <w:t>3</w:t>
            </w:r>
            <w:r w:rsidRPr="003B03CA">
              <w:rPr>
                <w:rFonts w:ascii="方正仿宋简体" w:eastAsia="方正仿宋简体" w:hAnsi="方正仿宋简体" w:cs="方正仿宋简体"/>
                <w:sz w:val="22"/>
              </w:rPr>
              <w:t>.</w:t>
            </w: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1987"/>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7</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胸外科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1.有不少于三年三级乙等及以上综合医院胸外科工作经验，取得全日制硕士研究生及以上学历人员可以放宽至不少于三年二级甲等综合医院工作经验；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 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2000"/>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lastRenderedPageBreak/>
              <w:t>8</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儿科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1.有不少于三年三级乙等及以上综合医院新生儿科工作经验，取得全日制硕士研究生及以上学历人员可以放宽至不少于三年二级甲等综合医院工作经验；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 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1972"/>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9</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成都市青白江区人民医院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肛肠科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普通高等教育全日制本科及以上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副高级职称及以上（医学类）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1.有不少于三年三级乙等及以上综合医院肛肠科工作经验，取得全日制硕士研究生及以上学历人员可以放宽至不少于三年二级甲等综合医院工作经验；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 取得全日制博士研究生毕业证书和博士学位证书的，可将职称放宽至主治医师；</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3</w:t>
            </w:r>
            <w:r w:rsidRPr="003B03CA">
              <w:rPr>
                <w:rFonts w:ascii="方正仿宋简体" w:eastAsia="方正仿宋简体" w:hAnsi="方正仿宋简体" w:cs="方正仿宋简体"/>
                <w:szCs w:val="21"/>
              </w:rPr>
              <w:t>.</w:t>
            </w:r>
            <w:r w:rsidRPr="003B03CA">
              <w:rPr>
                <w:rFonts w:ascii="方正仿宋简体" w:eastAsia="方正仿宋简体" w:hAnsi="方正仿宋简体" w:cs="方正仿宋简体" w:hint="eastAsia"/>
                <w:szCs w:val="21"/>
              </w:rPr>
              <w:t xml:space="preserve">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851"/>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10</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成都市青白江区妇幼保健院</w:t>
            </w:r>
          </w:p>
        </w:tc>
        <w:tc>
          <w:tcPr>
            <w:tcW w:w="992"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儿科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w:t>
            </w:r>
          </w:p>
        </w:tc>
        <w:tc>
          <w:tcPr>
            <w:tcW w:w="141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850"/>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11</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成都市青白江区妇幼保健院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kern w:val="0"/>
                <w:szCs w:val="21"/>
              </w:rPr>
              <w:t>妇产科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853"/>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12</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成都市青白江区妇幼保健院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中医</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中医学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850"/>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13</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成都市青白江区妇幼保健院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医学影像</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医学影像学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848"/>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14</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成都市青白江区妇幼保健院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kern w:val="0"/>
                <w:szCs w:val="21"/>
              </w:rPr>
              <w:t>麻醉</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r>
              <w:rPr>
                <w:rFonts w:ascii="方正仿宋简体" w:eastAsia="方正仿宋简体" w:hAnsi="方正仿宋简体" w:cs="方正仿宋简体" w:hint="eastAsia"/>
                <w:szCs w:val="21"/>
              </w:rPr>
              <w:t>、麻醉学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711"/>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lastRenderedPageBreak/>
              <w:t>15</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成都市青白江区妇幼保健院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kern w:val="0"/>
                <w:szCs w:val="21"/>
              </w:rPr>
              <w:t>检验</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医学检验</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A87617"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p w:rsidR="00DA6B5B" w:rsidRPr="00A87617" w:rsidRDefault="00DA6B5B" w:rsidP="007F5F04">
            <w:pPr>
              <w:rPr>
                <w:rFonts w:ascii="方正仿宋简体" w:eastAsia="方正仿宋简体" w:hAnsi="方正仿宋简体" w:cs="方正仿宋简体"/>
                <w:szCs w:val="21"/>
              </w:rPr>
            </w:pPr>
          </w:p>
          <w:p w:rsidR="00DA6B5B" w:rsidRPr="00A87617" w:rsidRDefault="00DA6B5B" w:rsidP="007F5F04">
            <w:pPr>
              <w:rPr>
                <w:rFonts w:ascii="方正仿宋简体" w:eastAsia="方正仿宋简体" w:hAnsi="方正仿宋简体" w:cs="方正仿宋简体"/>
                <w:szCs w:val="21"/>
              </w:rPr>
            </w:pPr>
          </w:p>
          <w:p w:rsidR="00DA6B5B" w:rsidRPr="00A87617" w:rsidRDefault="00DA6B5B" w:rsidP="007F5F04">
            <w:pPr>
              <w:rPr>
                <w:rFonts w:ascii="方正仿宋简体" w:eastAsia="方正仿宋简体" w:hAnsi="方正仿宋简体" w:cs="方正仿宋简体"/>
                <w:szCs w:val="21"/>
              </w:rPr>
            </w:pPr>
          </w:p>
          <w:p w:rsidR="00DA6B5B" w:rsidRPr="00A87617" w:rsidRDefault="00DA6B5B" w:rsidP="007F5F04">
            <w:pPr>
              <w:rPr>
                <w:rFonts w:ascii="方正仿宋简体" w:eastAsia="方正仿宋简体" w:hAnsi="方正仿宋简体" w:cs="方正仿宋简体"/>
                <w:szCs w:val="21"/>
              </w:rPr>
            </w:pPr>
          </w:p>
          <w:p w:rsidR="00DA6B5B" w:rsidRPr="00A87617" w:rsidRDefault="00DA6B5B" w:rsidP="007F5F04">
            <w:pPr>
              <w:rPr>
                <w:rFonts w:ascii="方正仿宋简体" w:eastAsia="方正仿宋简体" w:hAnsi="方正仿宋简体" w:cs="方正仿宋简体"/>
                <w:szCs w:val="21"/>
              </w:rPr>
            </w:pPr>
          </w:p>
          <w:p w:rsidR="00DA6B5B" w:rsidRPr="00A87617" w:rsidRDefault="00DA6B5B" w:rsidP="007F5F04">
            <w:pPr>
              <w:rPr>
                <w:rFonts w:ascii="方正仿宋简体" w:eastAsia="方正仿宋简体" w:hAnsi="方正仿宋简体" w:cs="方正仿宋简体"/>
                <w:szCs w:val="21"/>
              </w:rPr>
            </w:pPr>
          </w:p>
          <w:p w:rsidR="00DA6B5B" w:rsidRPr="00A87617" w:rsidRDefault="00DA6B5B" w:rsidP="007F5F04">
            <w:pPr>
              <w:rPr>
                <w:rFonts w:ascii="方正仿宋简体" w:eastAsia="方正仿宋简体" w:hAnsi="方正仿宋简体" w:cs="方正仿宋简体"/>
                <w:szCs w:val="21"/>
              </w:rPr>
            </w:pPr>
          </w:p>
          <w:p w:rsidR="00DA6B5B" w:rsidRPr="00A87617" w:rsidRDefault="00DA6B5B" w:rsidP="007F5F04">
            <w:pPr>
              <w:rPr>
                <w:rFonts w:ascii="方正仿宋简体" w:eastAsia="方正仿宋简体" w:hAnsi="方正仿宋简体" w:cs="方正仿宋简体"/>
                <w:szCs w:val="21"/>
              </w:rPr>
            </w:pP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721"/>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16</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成都市青白江区妇幼保健院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kern w:val="0"/>
                <w:szCs w:val="21"/>
              </w:rPr>
              <w:t>药学</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药学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983"/>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17</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成都市青白江区中医医院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kern w:val="0"/>
                <w:szCs w:val="21"/>
              </w:rPr>
            </w:pPr>
            <w:r w:rsidRPr="003B03CA">
              <w:rPr>
                <w:rFonts w:ascii="方正仿宋简体" w:eastAsia="方正仿宋简体" w:hAnsi="方正仿宋简体" w:cs="方正仿宋简体" w:hint="eastAsia"/>
                <w:szCs w:val="21"/>
              </w:rPr>
              <w:t>中医</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中医学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1.有不少于三年二级甲等及以上医院中医工作经验；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kern w:val="0"/>
                <w:sz w:val="22"/>
                <w:szCs w:val="22"/>
              </w:rPr>
            </w:pPr>
            <w:r w:rsidRPr="003B03CA">
              <w:rPr>
                <w:rFonts w:ascii="方正仿宋简体" w:eastAsia="方正仿宋简体" w:hAnsi="方正仿宋简体" w:cs="方正仿宋简体" w:hint="eastAsia"/>
                <w:szCs w:val="21"/>
              </w:rPr>
              <w:t>2.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716"/>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18</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成都市青白江区中医医院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麻醉</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r>
              <w:rPr>
                <w:rFonts w:ascii="方正仿宋简体" w:eastAsia="方正仿宋简体" w:hAnsi="方正仿宋简体" w:cs="方正仿宋简体" w:hint="eastAsia"/>
                <w:szCs w:val="21"/>
              </w:rPr>
              <w:t>、麻醉学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2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995"/>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19</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成都市青白江区中医医院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儿科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1.有不少于三年二级甲等及以上医院儿科工作经验；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995"/>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20</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成都市青白江区中医医院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肾内科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1.有不少于三年二级甲等及以上医院肾病工作经验，；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1008"/>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21</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成都市青白江区中医医院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泌尿外科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临床医学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1.有不少于三年二级甲等及以上医院相关工作经验；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979"/>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22</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成都市青白江区中医医院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急诊科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急诊医学</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本科及以上</w:t>
            </w:r>
          </w:p>
        </w:tc>
        <w:tc>
          <w:tcPr>
            <w:tcW w:w="1984"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副主任医师及以上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1.有不少于三年二级甲等及以上医院急诊科工作经验；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2. 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3B03CA" w:rsidTr="007F5F04">
        <w:trPr>
          <w:trHeight w:hRule="exact" w:val="993"/>
          <w:jc w:val="center"/>
        </w:trPr>
        <w:tc>
          <w:tcPr>
            <w:tcW w:w="808"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 w:val="20"/>
                <w:szCs w:val="21"/>
              </w:rPr>
            </w:pPr>
            <w:r w:rsidRPr="003B03CA">
              <w:rPr>
                <w:rFonts w:ascii="方正仿宋简体" w:eastAsia="方正仿宋简体" w:hAnsi="方正仿宋简体" w:cs="方正仿宋简体" w:hint="eastAsia"/>
                <w:sz w:val="20"/>
                <w:szCs w:val="21"/>
              </w:rPr>
              <w:t>23</w:t>
            </w:r>
          </w:p>
        </w:tc>
        <w:tc>
          <w:tcPr>
            <w:tcW w:w="1896"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成都市</w:t>
            </w:r>
            <w:r w:rsidRPr="00826A65">
              <w:rPr>
                <w:rFonts w:ascii="方正仿宋简体" w:eastAsia="方正仿宋简体" w:hAnsi="方正仿宋简体" w:cs="方正仿宋简体" w:hint="eastAsia"/>
                <w:szCs w:val="21"/>
              </w:rPr>
              <w:t>青白江区精神病防治院</w:t>
            </w:r>
          </w:p>
        </w:tc>
        <w:tc>
          <w:tcPr>
            <w:tcW w:w="992"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826A65">
              <w:rPr>
                <w:rFonts w:ascii="方正仿宋简体" w:eastAsia="方正仿宋简体" w:hAnsi="方正仿宋简体" w:cs="方正仿宋简体" w:hint="eastAsia"/>
                <w:szCs w:val="21"/>
              </w:rPr>
              <w:t>精神科</w:t>
            </w:r>
          </w:p>
        </w:tc>
        <w:tc>
          <w:tcPr>
            <w:tcW w:w="1403" w:type="dxa"/>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826A65">
              <w:rPr>
                <w:rFonts w:ascii="方正仿宋简体" w:eastAsia="方正仿宋简体" w:hAnsi="方正仿宋简体" w:cs="方正仿宋简体" w:hint="eastAsia"/>
                <w:szCs w:val="21"/>
              </w:rPr>
              <w:t>临床</w:t>
            </w:r>
            <w:r>
              <w:rPr>
                <w:rFonts w:ascii="方正仿宋简体" w:eastAsia="方正仿宋简体" w:hAnsi="方正仿宋简体" w:cs="方正仿宋简体" w:hint="eastAsia"/>
                <w:szCs w:val="21"/>
              </w:rPr>
              <w:t>医学</w:t>
            </w:r>
            <w:r w:rsidRPr="00826A65">
              <w:rPr>
                <w:rFonts w:ascii="方正仿宋简体" w:eastAsia="方正仿宋简体" w:hAnsi="方正仿宋简体" w:cs="方正仿宋简体" w:hint="eastAsia"/>
                <w:szCs w:val="21"/>
              </w:rPr>
              <w:t>（精神卫生）</w:t>
            </w:r>
          </w:p>
        </w:tc>
        <w:tc>
          <w:tcPr>
            <w:tcW w:w="844" w:type="dxa"/>
            <w:shd w:val="clear" w:color="auto" w:fill="auto"/>
            <w:vAlign w:val="center"/>
          </w:tcPr>
          <w:p w:rsidR="00DA6B5B" w:rsidRPr="003B03CA" w:rsidRDefault="00DA6B5B" w:rsidP="007F5F04">
            <w:pPr>
              <w:spacing w:line="360" w:lineRule="exact"/>
              <w:jc w:val="center"/>
              <w:rPr>
                <w:rFonts w:ascii="方正仿宋简体" w:eastAsia="方正仿宋简体" w:hAnsi="方正仿宋简体" w:cs="方正仿宋简体"/>
                <w:szCs w:val="21"/>
              </w:rPr>
            </w:pPr>
            <w:r w:rsidRPr="0067436B">
              <w:rPr>
                <w:rFonts w:ascii="方正仿宋简体" w:eastAsia="方正仿宋简体" w:hAnsi="方正仿宋简体" w:cs="方正仿宋简体"/>
                <w:color w:val="000000" w:themeColor="text1"/>
                <w:szCs w:val="21"/>
              </w:rPr>
              <w:t>2</w:t>
            </w:r>
          </w:p>
        </w:tc>
        <w:tc>
          <w:tcPr>
            <w:tcW w:w="1418" w:type="dxa"/>
            <w:shd w:val="clear" w:color="auto" w:fill="auto"/>
            <w:vAlign w:val="center"/>
          </w:tcPr>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826A65">
              <w:rPr>
                <w:rFonts w:ascii="方正仿宋简体" w:eastAsia="方正仿宋简体" w:hAnsi="方正仿宋简体" w:cs="方正仿宋简体" w:hint="eastAsia"/>
                <w:szCs w:val="21"/>
              </w:rPr>
              <w:t>本科</w:t>
            </w:r>
            <w:r w:rsidRPr="003B03CA">
              <w:rPr>
                <w:rFonts w:ascii="方正仿宋简体" w:eastAsia="方正仿宋简体" w:hAnsi="方正仿宋简体" w:cs="方正仿宋简体" w:hint="eastAsia"/>
                <w:szCs w:val="21"/>
              </w:rPr>
              <w:t>及以上</w:t>
            </w:r>
          </w:p>
        </w:tc>
        <w:tc>
          <w:tcPr>
            <w:tcW w:w="1984" w:type="dxa"/>
            <w:shd w:val="clear" w:color="auto" w:fill="auto"/>
            <w:vAlign w:val="center"/>
          </w:tcPr>
          <w:p w:rsidR="00DA6B5B" w:rsidRDefault="00DA6B5B" w:rsidP="007F5F04">
            <w:pPr>
              <w:widowControl/>
              <w:spacing w:line="360" w:lineRule="exact"/>
              <w:jc w:val="center"/>
              <w:rPr>
                <w:rFonts w:ascii="方正仿宋简体" w:eastAsia="方正仿宋简体" w:hAnsi="方正仿宋简体" w:cs="方正仿宋简体"/>
                <w:szCs w:val="21"/>
              </w:rPr>
            </w:pPr>
            <w:r w:rsidRPr="00826A65">
              <w:rPr>
                <w:rFonts w:ascii="方正仿宋简体" w:eastAsia="方正仿宋简体" w:hAnsi="方正仿宋简体" w:cs="方正仿宋简体" w:hint="eastAsia"/>
                <w:szCs w:val="21"/>
              </w:rPr>
              <w:t>副主任医师</w:t>
            </w:r>
            <w:r w:rsidRPr="003B03CA">
              <w:rPr>
                <w:rFonts w:ascii="方正仿宋简体" w:eastAsia="方正仿宋简体" w:hAnsi="方正仿宋简体" w:cs="方正仿宋简体" w:hint="eastAsia"/>
                <w:szCs w:val="21"/>
              </w:rPr>
              <w:t>及以上</w:t>
            </w:r>
          </w:p>
          <w:p w:rsidR="00DA6B5B" w:rsidRPr="003B03CA" w:rsidRDefault="00DA6B5B" w:rsidP="007F5F04">
            <w:pPr>
              <w:widowControl/>
              <w:spacing w:line="360" w:lineRule="exact"/>
              <w:jc w:val="center"/>
              <w:rPr>
                <w:rFonts w:ascii="方正仿宋简体" w:eastAsia="方正仿宋简体" w:hAnsi="方正仿宋简体" w:cs="方正仿宋简体"/>
                <w:szCs w:val="21"/>
              </w:rPr>
            </w:pPr>
            <w:r w:rsidRPr="003B03CA">
              <w:rPr>
                <w:rFonts w:ascii="方正仿宋简体" w:eastAsia="方正仿宋简体" w:hAnsi="方正仿宋简体" w:cs="方正仿宋简体" w:hint="eastAsia"/>
                <w:szCs w:val="21"/>
              </w:rPr>
              <w:t>（医学类）</w:t>
            </w:r>
          </w:p>
        </w:tc>
        <w:tc>
          <w:tcPr>
            <w:tcW w:w="5394" w:type="dxa"/>
            <w:shd w:val="clear" w:color="auto" w:fill="auto"/>
            <w:vAlign w:val="center"/>
          </w:tcPr>
          <w:p w:rsidR="00DA6B5B" w:rsidRDefault="00DA6B5B" w:rsidP="007F5F04">
            <w:pPr>
              <w:tabs>
                <w:tab w:val="left" w:pos="312"/>
              </w:tabs>
              <w:spacing w:line="240" w:lineRule="exac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r>
              <w:rPr>
                <w:rFonts w:ascii="方正仿宋简体" w:eastAsia="方正仿宋简体" w:hAnsi="方正仿宋简体" w:cs="方正仿宋简体"/>
                <w:szCs w:val="21"/>
              </w:rPr>
              <w:t>.</w:t>
            </w:r>
            <w:r w:rsidRPr="00826A65">
              <w:rPr>
                <w:rFonts w:ascii="方正仿宋简体" w:eastAsia="方正仿宋简体" w:hAnsi="方正仿宋简体" w:cs="方正仿宋简体" w:hint="eastAsia"/>
                <w:szCs w:val="21"/>
              </w:rPr>
              <w:t>有</w:t>
            </w:r>
            <w:r>
              <w:rPr>
                <w:rFonts w:ascii="方正仿宋简体" w:eastAsia="方正仿宋简体" w:hAnsi="方正仿宋简体" w:cs="方正仿宋简体" w:hint="eastAsia"/>
                <w:szCs w:val="21"/>
              </w:rPr>
              <w:t>不少于三年二级及以上医院</w:t>
            </w:r>
            <w:r w:rsidRPr="00826A65">
              <w:rPr>
                <w:rFonts w:ascii="方正仿宋简体" w:eastAsia="方正仿宋简体" w:hAnsi="方正仿宋简体" w:cs="方正仿宋简体" w:hint="eastAsia"/>
                <w:szCs w:val="21"/>
              </w:rPr>
              <w:t>精神卫生工作</w:t>
            </w:r>
            <w:r>
              <w:rPr>
                <w:rFonts w:ascii="方正仿宋简体" w:eastAsia="方正仿宋简体" w:hAnsi="方正仿宋简体" w:cs="方正仿宋简体" w:hint="eastAsia"/>
                <w:szCs w:val="21"/>
              </w:rPr>
              <w:t>经验；</w:t>
            </w:r>
          </w:p>
          <w:p w:rsidR="00DA6B5B" w:rsidRPr="003B03CA" w:rsidRDefault="00DA6B5B" w:rsidP="007F5F04">
            <w:pPr>
              <w:widowControl/>
              <w:spacing w:line="24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szCs w:val="21"/>
              </w:rPr>
              <w:t>2.</w:t>
            </w:r>
            <w:r w:rsidRPr="003B03CA">
              <w:rPr>
                <w:rFonts w:ascii="方正仿宋简体" w:eastAsia="方正仿宋简体" w:hAnsi="方正仿宋简体" w:cs="方正仿宋简体" w:hint="eastAsia"/>
                <w:szCs w:val="21"/>
              </w:rPr>
              <w:t>45岁及以下（1973年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月1日以后出生），正高职称可放宽至50岁及以下（196</w:t>
            </w:r>
            <w:r w:rsidRPr="003B03CA">
              <w:rPr>
                <w:rFonts w:ascii="方正仿宋简体" w:eastAsia="方正仿宋简体" w:hAnsi="方正仿宋简体" w:cs="方正仿宋简体"/>
                <w:szCs w:val="21"/>
              </w:rPr>
              <w:t>8</w:t>
            </w:r>
            <w:r w:rsidRPr="003B03CA">
              <w:rPr>
                <w:rFonts w:ascii="方正仿宋简体" w:eastAsia="方正仿宋简体" w:hAnsi="方正仿宋简体" w:cs="方正仿宋简体" w:hint="eastAsia"/>
                <w:szCs w:val="21"/>
              </w:rPr>
              <w:t>年</w:t>
            </w:r>
            <w:r w:rsidRPr="003B03CA">
              <w:rPr>
                <w:rFonts w:ascii="方正仿宋简体" w:eastAsia="方正仿宋简体" w:hAnsi="方正仿宋简体" w:cs="方正仿宋简体"/>
                <w:szCs w:val="21"/>
              </w:rPr>
              <w:t>1</w:t>
            </w:r>
            <w:r w:rsidRPr="003B03CA">
              <w:rPr>
                <w:rFonts w:ascii="方正仿宋简体" w:eastAsia="方正仿宋简体" w:hAnsi="方正仿宋简体" w:cs="方正仿宋简体" w:hint="eastAsia"/>
                <w:szCs w:val="21"/>
              </w:rPr>
              <w:t>月1日以后出生）；其中，女性应聘者应承诺在应聘单位工作十周年及以上。</w:t>
            </w:r>
          </w:p>
        </w:tc>
      </w:tr>
      <w:tr w:rsidR="00DA6B5B" w:rsidRPr="008D7CBF" w:rsidTr="007F5F04">
        <w:trPr>
          <w:trHeight w:hRule="exact" w:val="556"/>
          <w:jc w:val="center"/>
        </w:trPr>
        <w:tc>
          <w:tcPr>
            <w:tcW w:w="2704" w:type="dxa"/>
            <w:gridSpan w:val="2"/>
            <w:shd w:val="clear" w:color="auto" w:fill="auto"/>
            <w:vAlign w:val="center"/>
          </w:tcPr>
          <w:p w:rsidR="00DA6B5B" w:rsidRDefault="00DA6B5B" w:rsidP="007F5F04">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 w:val="20"/>
                <w:szCs w:val="21"/>
              </w:rPr>
              <w:t>合计</w:t>
            </w:r>
          </w:p>
        </w:tc>
        <w:tc>
          <w:tcPr>
            <w:tcW w:w="992" w:type="dxa"/>
            <w:shd w:val="clear" w:color="auto" w:fill="auto"/>
            <w:vAlign w:val="center"/>
          </w:tcPr>
          <w:p w:rsidR="00DA6B5B" w:rsidRDefault="00DA6B5B" w:rsidP="007F5F04">
            <w:pPr>
              <w:widowControl/>
              <w:spacing w:line="360" w:lineRule="exact"/>
              <w:jc w:val="center"/>
              <w:rPr>
                <w:rFonts w:ascii="方正仿宋简体" w:eastAsia="方正仿宋简体" w:hAnsi="方正仿宋简体" w:cs="方正仿宋简体"/>
                <w:szCs w:val="21"/>
              </w:rPr>
            </w:pPr>
          </w:p>
        </w:tc>
        <w:tc>
          <w:tcPr>
            <w:tcW w:w="1403" w:type="dxa"/>
            <w:vAlign w:val="center"/>
          </w:tcPr>
          <w:p w:rsidR="00DA6B5B" w:rsidRDefault="00DA6B5B" w:rsidP="007F5F04">
            <w:pPr>
              <w:spacing w:line="360" w:lineRule="exact"/>
              <w:jc w:val="center"/>
              <w:rPr>
                <w:rFonts w:ascii="方正仿宋简体" w:eastAsia="方正仿宋简体" w:hAnsi="方正仿宋简体" w:cs="方正仿宋简体"/>
                <w:szCs w:val="21"/>
              </w:rPr>
            </w:pPr>
          </w:p>
        </w:tc>
        <w:tc>
          <w:tcPr>
            <w:tcW w:w="844" w:type="dxa"/>
            <w:shd w:val="clear" w:color="auto" w:fill="auto"/>
            <w:vAlign w:val="center"/>
          </w:tcPr>
          <w:p w:rsidR="00DA6B5B" w:rsidRDefault="00DA6B5B" w:rsidP="007F5F04">
            <w:pPr>
              <w:spacing w:line="3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szCs w:val="21"/>
              </w:rPr>
              <w:t>26</w:t>
            </w:r>
          </w:p>
        </w:tc>
        <w:tc>
          <w:tcPr>
            <w:tcW w:w="1418" w:type="dxa"/>
            <w:shd w:val="clear" w:color="auto" w:fill="auto"/>
            <w:vAlign w:val="center"/>
          </w:tcPr>
          <w:p w:rsidR="00DA6B5B" w:rsidRPr="007A7C8C" w:rsidRDefault="00DA6B5B" w:rsidP="007F5F04">
            <w:pPr>
              <w:widowControl/>
              <w:spacing w:line="360" w:lineRule="exact"/>
              <w:jc w:val="center"/>
              <w:rPr>
                <w:rFonts w:ascii="方正仿宋简体" w:eastAsia="方正仿宋简体" w:hAnsi="方正仿宋简体" w:cs="方正仿宋简体"/>
                <w:color w:val="FF0000"/>
                <w:szCs w:val="21"/>
              </w:rPr>
            </w:pPr>
          </w:p>
        </w:tc>
        <w:tc>
          <w:tcPr>
            <w:tcW w:w="1984" w:type="dxa"/>
            <w:shd w:val="clear" w:color="auto" w:fill="auto"/>
            <w:vAlign w:val="center"/>
          </w:tcPr>
          <w:p w:rsidR="00DA6B5B" w:rsidRPr="00826A65" w:rsidRDefault="00DA6B5B" w:rsidP="007F5F04">
            <w:pPr>
              <w:widowControl/>
              <w:spacing w:line="360" w:lineRule="exact"/>
              <w:jc w:val="center"/>
              <w:rPr>
                <w:rFonts w:ascii="方正仿宋简体" w:eastAsia="方正仿宋简体" w:hAnsi="方正仿宋简体" w:cs="方正仿宋简体"/>
                <w:szCs w:val="21"/>
              </w:rPr>
            </w:pPr>
          </w:p>
        </w:tc>
        <w:tc>
          <w:tcPr>
            <w:tcW w:w="5394" w:type="dxa"/>
            <w:shd w:val="clear" w:color="auto" w:fill="auto"/>
            <w:vAlign w:val="center"/>
          </w:tcPr>
          <w:p w:rsidR="00DA6B5B" w:rsidRPr="006241D9" w:rsidRDefault="00DA6B5B" w:rsidP="007F5F04">
            <w:pPr>
              <w:widowControl/>
              <w:spacing w:line="240" w:lineRule="exact"/>
              <w:jc w:val="left"/>
              <w:textAlignment w:val="center"/>
              <w:rPr>
                <w:rFonts w:ascii="方正仿宋简体" w:eastAsia="方正仿宋简体" w:hAnsi="方正仿宋简体" w:cs="方正仿宋简体"/>
                <w:szCs w:val="21"/>
              </w:rPr>
            </w:pPr>
          </w:p>
        </w:tc>
      </w:tr>
    </w:tbl>
    <w:p w:rsidR="00473272" w:rsidRDefault="00473272"/>
    <w:sectPr w:rsidR="00473272" w:rsidSect="006A05BD">
      <w:pgSz w:w="16838" w:h="11906" w:orient="landscape"/>
      <w:pgMar w:top="1588" w:right="2098"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72" w:rsidRDefault="00473272" w:rsidP="00DA6B5B">
      <w:r>
        <w:separator/>
      </w:r>
    </w:p>
  </w:endnote>
  <w:endnote w:type="continuationSeparator" w:id="1">
    <w:p w:rsidR="00473272" w:rsidRDefault="00473272" w:rsidP="00DA6B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简体">
    <w:altName w:val="微软雅黑"/>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72" w:rsidRDefault="00473272" w:rsidP="00DA6B5B">
      <w:r>
        <w:separator/>
      </w:r>
    </w:p>
  </w:footnote>
  <w:footnote w:type="continuationSeparator" w:id="1">
    <w:p w:rsidR="00473272" w:rsidRDefault="00473272" w:rsidP="00DA6B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B5B"/>
    <w:rsid w:val="00473272"/>
    <w:rsid w:val="00DA6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B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B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A6B5B"/>
    <w:rPr>
      <w:sz w:val="18"/>
      <w:szCs w:val="18"/>
    </w:rPr>
  </w:style>
  <w:style w:type="paragraph" w:styleId="a4">
    <w:name w:val="footer"/>
    <w:basedOn w:val="a"/>
    <w:link w:val="Char0"/>
    <w:uiPriority w:val="99"/>
    <w:semiHidden/>
    <w:unhideWhenUsed/>
    <w:rsid w:val="00DA6B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A6B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李兴文</dc:creator>
  <cp:keywords/>
  <dc:description/>
  <cp:lastModifiedBy>李兴文</cp:lastModifiedBy>
  <cp:revision>2</cp:revision>
  <dcterms:created xsi:type="dcterms:W3CDTF">2018-02-07T03:04:00Z</dcterms:created>
  <dcterms:modified xsi:type="dcterms:W3CDTF">2018-02-07T03:04:00Z</dcterms:modified>
</cp:coreProperties>
</file>