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黑体" w:eastAsia="黑体" w:cs="宋体"/>
          <w:sz w:val="28"/>
          <w:szCs w:val="28"/>
        </w:rPr>
      </w:pPr>
      <w:r>
        <w:rPr>
          <w:rFonts w:hint="eastAsia" w:ascii="黑体" w:eastAsia="黑体" w:cs="宋体"/>
          <w:sz w:val="28"/>
          <w:szCs w:val="28"/>
        </w:rPr>
        <w:t>附件1：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黑体" w:eastAsia="黑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eastAsia="黑体" w:cs="宋体"/>
          <w:sz w:val="28"/>
          <w:szCs w:val="28"/>
        </w:rPr>
      </w:pPr>
      <w:r>
        <w:rPr>
          <w:rFonts w:hint="eastAsia" w:ascii="黑体" w:eastAsia="黑体" w:cs="宋体"/>
          <w:sz w:val="32"/>
          <w:szCs w:val="32"/>
        </w:rPr>
        <w:t>四川省水利厅直属事业单位2016年12月公开考试招聘工作人员招聘单位基本情况</w:t>
      </w:r>
    </w:p>
    <w:p>
      <w:pPr>
        <w:spacing w:line="240" w:lineRule="exact"/>
        <w:jc w:val="left"/>
        <w:rPr>
          <w:rFonts w:hint="eastAsia" w:ascii="黑体" w:eastAsia="黑体" w:cs="宋体"/>
          <w:sz w:val="28"/>
          <w:szCs w:val="28"/>
        </w:rPr>
      </w:pPr>
    </w:p>
    <w:tbl>
      <w:tblPr>
        <w:tblStyle w:val="3"/>
        <w:tblW w:w="1399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18"/>
        <w:gridCol w:w="1116"/>
        <w:gridCol w:w="1164"/>
        <w:gridCol w:w="102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674" w:hRule="atLeast"/>
        </w:trPr>
        <w:tc>
          <w:tcPr>
            <w:tcW w:w="1418" w:type="dxa"/>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单位名称</w:t>
            </w:r>
          </w:p>
        </w:tc>
        <w:tc>
          <w:tcPr>
            <w:tcW w:w="1116" w:type="dxa"/>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单位性质</w:t>
            </w:r>
          </w:p>
        </w:tc>
        <w:tc>
          <w:tcPr>
            <w:tcW w:w="1164" w:type="dxa"/>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单位地址</w:t>
            </w:r>
          </w:p>
        </w:tc>
        <w:tc>
          <w:tcPr>
            <w:tcW w:w="10296" w:type="dxa"/>
            <w:vAlign w:val="center"/>
          </w:tcPr>
          <w:p>
            <w:pPr>
              <w:widowControl/>
              <w:jc w:val="center"/>
              <w:textAlignment w:val="center"/>
              <w:rPr>
                <w:rFonts w:hint="eastAsia" w:ascii="宋体" w:hAnsi="宋体" w:eastAsia="宋体" w:cs="宋体"/>
                <w:b/>
                <w:sz w:val="24"/>
                <w:szCs w:val="24"/>
              </w:rPr>
            </w:pPr>
            <w:r>
              <w:rPr>
                <w:rFonts w:hint="eastAsia" w:ascii="宋体" w:hAnsi="宋体" w:eastAsia="宋体" w:cs="宋体"/>
                <w:b/>
                <w:kern w:val="0"/>
                <w:sz w:val="24"/>
                <w:szCs w:val="24"/>
                <w:lang w:bidi="ar"/>
              </w:rPr>
              <w:t>主    要   职   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1702" w:hRule="atLeast"/>
        </w:trPr>
        <w:tc>
          <w:tcPr>
            <w:tcW w:w="1418" w:type="dxa"/>
            <w:vAlign w:val="center"/>
          </w:tcPr>
          <w:p>
            <w:pPr>
              <w:widowControl/>
              <w:spacing w:line="360" w:lineRule="auto"/>
              <w:jc w:val="left"/>
              <w:textAlignment w:val="center"/>
              <w:rPr>
                <w:rFonts w:hint="eastAsia" w:ascii="宋体" w:hAnsi="宋体" w:eastAsia="宋体" w:cs="宋体"/>
                <w:sz w:val="21"/>
                <w:szCs w:val="21"/>
              </w:rPr>
            </w:pPr>
            <w:r>
              <w:rPr>
                <w:rFonts w:hint="eastAsia"/>
              </w:rPr>
              <w:t>四川省水利基本建设工程质量监督中心站</w:t>
            </w:r>
          </w:p>
        </w:tc>
        <w:tc>
          <w:tcPr>
            <w:tcW w:w="111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财政全额拨款事业单位</w:t>
            </w:r>
          </w:p>
        </w:tc>
        <w:tc>
          <w:tcPr>
            <w:tcW w:w="1164"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成都市青羊区文武路69号</w:t>
            </w:r>
          </w:p>
        </w:tc>
        <w:tc>
          <w:tcPr>
            <w:tcW w:w="1029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管理全省水利工程质量监督工作；指导市(州)质量监督站工作；协助配合水利部质量监督总站和流域分站组织监督的水利工程质量监督工作；掌握全省水利工程质量动态和质量监督工作情况，开展水利工程质量检查活动，组织交流质量监督工作经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90" w:hRule="atLeast"/>
        </w:trPr>
        <w:tc>
          <w:tcPr>
            <w:tcW w:w="1418" w:type="dxa"/>
            <w:vAlign w:val="center"/>
          </w:tcPr>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四川省水文水资源勘测局</w:t>
            </w:r>
          </w:p>
        </w:tc>
        <w:tc>
          <w:tcPr>
            <w:tcW w:w="111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财政全额拨款事业单位</w:t>
            </w:r>
          </w:p>
        </w:tc>
        <w:tc>
          <w:tcPr>
            <w:tcW w:w="1164"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成都市金牛区兴科路1号</w:t>
            </w:r>
          </w:p>
        </w:tc>
        <w:tc>
          <w:tcPr>
            <w:tcW w:w="1029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负责全省水文行业归口管理、协调、检查和指导；负责和组织水文水资源、水环境监测、水文情报预报、水文分析计算及水资源调查评价和水文科技等工作，为我省防汛救灾、生态建设、水保、水资源管理、保护及开发利用等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1815" w:hRule="atLeast"/>
        </w:trPr>
        <w:tc>
          <w:tcPr>
            <w:tcW w:w="1418" w:type="dxa"/>
            <w:vAlign w:val="center"/>
          </w:tcPr>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四川省都江堰管理局</w:t>
            </w:r>
          </w:p>
        </w:tc>
        <w:tc>
          <w:tcPr>
            <w:tcW w:w="111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财政差额拨款事业单位</w:t>
            </w:r>
          </w:p>
        </w:tc>
        <w:tc>
          <w:tcPr>
            <w:tcW w:w="1164"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都江堰市公园路60号</w:t>
            </w:r>
          </w:p>
        </w:tc>
        <w:tc>
          <w:tcPr>
            <w:tcW w:w="1029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贯彻落实国家有关法律、法规和水利工作的方针、政策，在省水利厅的领导下，制定并实施灌区中长期发展规划；承担管理范围内水利工程的防洪调度、运行管理和维修养护；会同当地水行政主管部门开展灌区水利工程保护等工作；组织编制并实施灌区年度水量分配方案和调度计划，指导灌区节约用水，受委托承担水利工程国有资产管理和经营，确保国有资产增值保值；承办省水利厅交办的其它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266" w:hRule="atLeast"/>
        </w:trPr>
        <w:tc>
          <w:tcPr>
            <w:tcW w:w="1418" w:type="dxa"/>
            <w:vAlign w:val="center"/>
          </w:tcPr>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四川省都江堰东风渠管理处</w:t>
            </w:r>
          </w:p>
        </w:tc>
        <w:tc>
          <w:tcPr>
            <w:tcW w:w="111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财政差额拨款事业单位</w:t>
            </w:r>
          </w:p>
        </w:tc>
        <w:tc>
          <w:tcPr>
            <w:tcW w:w="1164"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成都市熊猫大道13号</w:t>
            </w:r>
          </w:p>
        </w:tc>
        <w:tc>
          <w:tcPr>
            <w:tcW w:w="1029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贯彻落实国家有关法律、法规和水利工作的方针、政策；在省水利厅的领导下，制定并实施灌区中长期发展规划；承担管理范围内水利工程的防洪调度、运行管理和维护；会同当地水行政主管部门开展灌区水利工程保护等工作；组织编制并实施灌区年度水量分配方案和调度计划，指导灌区节约用水；受委托承担水利工程国有资产的管理和经营，确保国有资产增值保值；承办省水利厅交办的其他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170" w:hRule="atLeast"/>
        </w:trPr>
        <w:tc>
          <w:tcPr>
            <w:tcW w:w="1418" w:type="dxa"/>
            <w:vAlign w:val="center"/>
          </w:tcPr>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四川省都江堰人民渠第一管理处</w:t>
            </w:r>
          </w:p>
        </w:tc>
        <w:tc>
          <w:tcPr>
            <w:tcW w:w="111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财政差额拨款事业单位</w:t>
            </w:r>
          </w:p>
        </w:tc>
        <w:tc>
          <w:tcPr>
            <w:tcW w:w="1164"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彭州市东南市街67号</w:t>
            </w:r>
          </w:p>
        </w:tc>
        <w:tc>
          <w:tcPr>
            <w:tcW w:w="1029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贯彻落实国家有关法律、法规和水利工作的方针、政策；在省水利厅的领导下，制定并实施灌区中长期发展规划；承担管理范围内水利工程的防洪调度、运行管理和维护；会同当地水行政主管部门开展灌区水利工程保护等工作；组织编制并实施灌区年度水量分配方案和调度计划，指导灌区节约用水；受委托承担水利工程国有资产的管理和经营，确保国有资产增值保值；承办省水利厅交办的其他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854" w:hRule="atLeast"/>
        </w:trPr>
        <w:tc>
          <w:tcPr>
            <w:tcW w:w="1418" w:type="dxa"/>
            <w:vAlign w:val="center"/>
          </w:tcPr>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四川省都江堰人民渠第二管理处</w:t>
            </w:r>
          </w:p>
        </w:tc>
        <w:tc>
          <w:tcPr>
            <w:tcW w:w="111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财政差额拨款事业单位</w:t>
            </w:r>
          </w:p>
        </w:tc>
        <w:tc>
          <w:tcPr>
            <w:tcW w:w="1164"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德阳市天山路141号</w:t>
            </w:r>
          </w:p>
        </w:tc>
        <w:tc>
          <w:tcPr>
            <w:tcW w:w="1029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贯彻落实国家有关法律、法规和水利工作的方针、政策；在省水利厅的领导下，制定并实施灌区中长期发展规划；承担管理范围内水利工程的防洪调度、运行管理和维护；会同当地水行政主管部门开展灌区水利工程保护等工作；组织编制并实施灌区年度水量分配方案和调度计划，指导灌区节约用水；受委托承担水利工程国有资产的管理和经营，确保国有资产增值保值；承办省水利厅交办的其他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2122" w:hRule="atLeast"/>
        </w:trPr>
        <w:tc>
          <w:tcPr>
            <w:tcW w:w="1418" w:type="dxa"/>
            <w:vAlign w:val="center"/>
          </w:tcPr>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四川省都江堰外江管理处</w:t>
            </w:r>
          </w:p>
        </w:tc>
        <w:tc>
          <w:tcPr>
            <w:tcW w:w="111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财政差额拨款事业单位</w:t>
            </w:r>
          </w:p>
        </w:tc>
        <w:tc>
          <w:tcPr>
            <w:tcW w:w="1164"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崇州市永康西路358号</w:t>
            </w:r>
          </w:p>
        </w:tc>
        <w:tc>
          <w:tcPr>
            <w:tcW w:w="1029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贯彻落实国家有关法律、法规和水利工作的方针、政策；在省水利厅的领导下，制定并实施灌区中长期发展规划；承担管理范围内水利工程的防洪调度、运行管理和维护；会同当地水行政主管部门开展灌区水利工程保护等工作；组织编制并实施灌区年度水量分配方案和调度计划，指导灌区节约用水；受委托承担水利工程国有资产的管理和经营，确保国有资产增值保值；承办省水利厅交办的其他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1942" w:hRule="atLeast"/>
        </w:trPr>
        <w:tc>
          <w:tcPr>
            <w:tcW w:w="1418" w:type="dxa"/>
            <w:vAlign w:val="center"/>
          </w:tcPr>
          <w:p>
            <w:pPr>
              <w:widowControl/>
              <w:spacing w:line="360" w:lineRule="auto"/>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四川省长葫灌区管理局</w:t>
            </w:r>
          </w:p>
        </w:tc>
        <w:tc>
          <w:tcPr>
            <w:tcW w:w="111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财政差额拨款事业单位</w:t>
            </w:r>
          </w:p>
        </w:tc>
        <w:tc>
          <w:tcPr>
            <w:tcW w:w="1164"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威远县严陵镇三河路</w:t>
            </w:r>
          </w:p>
        </w:tc>
        <w:tc>
          <w:tcPr>
            <w:tcW w:w="10296" w:type="dxa"/>
            <w:vAlign w:val="center"/>
          </w:tcPr>
          <w:p>
            <w:pPr>
              <w:widowControl/>
              <w:spacing w:line="360" w:lineRule="auto"/>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贯彻落实国家有关法律、法规和水利工作的方针、政策；在省水利厅的领导下，制定并实施灌区中长期发展规划；承担管理范围内水利工程的防洪调度、运行管理和维护；会同当地水行政主管部门开展灌区水利工程保护等工作；组织编制并实施灌区年度水量分配方案和调度计划，指导灌区节约用水；受委托承担水利工程国有资产的管理和经营，确保国有资产增值保值；承办省水利厅交办的其他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Ex>
        <w:trPr>
          <w:trHeight w:val="1108" w:hRule="atLeast"/>
        </w:trPr>
        <w:tc>
          <w:tcPr>
            <w:tcW w:w="1418" w:type="dxa"/>
            <w:vAlign w:val="center"/>
          </w:tcPr>
          <w:p>
            <w:pPr>
              <w:widowControl/>
              <w:spacing w:line="360" w:lineRule="auto"/>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四川省玉溪河灌区管理局</w:t>
            </w:r>
          </w:p>
        </w:tc>
        <w:tc>
          <w:tcPr>
            <w:tcW w:w="1116" w:type="dxa"/>
            <w:vAlign w:val="center"/>
          </w:tcPr>
          <w:p>
            <w:pPr>
              <w:widowControl/>
              <w:spacing w:line="360" w:lineRule="auto"/>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财政差额拨款事业单位</w:t>
            </w:r>
          </w:p>
        </w:tc>
        <w:tc>
          <w:tcPr>
            <w:tcW w:w="1164" w:type="dxa"/>
            <w:vAlign w:val="center"/>
          </w:tcPr>
          <w:p>
            <w:pPr>
              <w:widowControl/>
              <w:spacing w:line="360" w:lineRule="auto"/>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邛崃市善政街55号</w:t>
            </w:r>
          </w:p>
        </w:tc>
        <w:tc>
          <w:tcPr>
            <w:tcW w:w="10296" w:type="dxa"/>
            <w:vAlign w:val="top"/>
          </w:tcPr>
          <w:p>
            <w:pPr>
              <w:widowControl/>
              <w:spacing w:line="360" w:lineRule="auto"/>
              <w:textAlignment w:val="top"/>
              <w:rPr>
                <w:rFonts w:hint="eastAsia" w:ascii="宋体" w:hAnsi="宋体" w:eastAsia="宋体" w:cs="宋体"/>
                <w:kern w:val="0"/>
                <w:sz w:val="21"/>
                <w:szCs w:val="21"/>
                <w:lang w:bidi="ar"/>
              </w:rPr>
            </w:pPr>
            <w:r>
              <w:rPr>
                <w:rFonts w:hint="eastAsia" w:ascii="宋体" w:hAnsi="宋体" w:eastAsia="宋体" w:cs="宋体"/>
                <w:kern w:val="0"/>
                <w:sz w:val="21"/>
                <w:szCs w:val="21"/>
                <w:lang w:bidi="ar"/>
              </w:rPr>
              <w:t>贯彻落实国家有关法律、法规和水利工作的方针、政策；在省水利厅的领导下，制定并实施灌区中长期发展规划；承担管理范围内水利工程的防洪调度、运行管理和维护；会同当地水行政主管部门开展灌区水利工程保护等工作；组织编制并实施灌区年度水量分配方案和调度计划，指导灌区节约用水；受委托承担水利工程国有资产的管理和经营，确保国有资产增值保值；承办省水利厅交办的其他工作。</w:t>
            </w:r>
          </w:p>
        </w:tc>
      </w:tr>
    </w:tbl>
    <w:p>
      <w:pPr>
        <w:spacing w:line="240" w:lineRule="exact"/>
        <w:jc w:val="left"/>
        <w:rPr>
          <w:rFonts w:hint="eastAsia" w:ascii="黑体" w:eastAsia="黑体" w:cs="宋体"/>
          <w:sz w:val="28"/>
          <w:szCs w:val="28"/>
        </w:rPr>
      </w:pPr>
    </w:p>
    <w:p>
      <w:pPr>
        <w:spacing w:line="240" w:lineRule="exact"/>
        <w:jc w:val="left"/>
        <w:rPr>
          <w:rFonts w:hint="eastAsia" w:ascii="黑体" w:eastAsia="黑体" w:cs="宋体"/>
          <w:sz w:val="28"/>
          <w:szCs w:val="28"/>
        </w:rPr>
      </w:pPr>
      <w:bookmarkStart w:id="0" w:name="_GoBack"/>
      <w:bookmarkEnd w:id="0"/>
    </w:p>
    <w:p>
      <w:pPr>
        <w:spacing w:line="240" w:lineRule="exact"/>
        <w:jc w:val="left"/>
        <w:rPr>
          <w:rFonts w:hint="eastAsia" w:ascii="黑体" w:eastAsia="黑体" w:cs="宋体"/>
          <w:sz w:val="28"/>
          <w:szCs w:val="28"/>
        </w:rPr>
      </w:pPr>
    </w:p>
    <w:p>
      <w:pPr>
        <w:spacing w:line="240" w:lineRule="exact"/>
        <w:jc w:val="left"/>
        <w:rPr>
          <w:rFonts w:hint="eastAsia" w:ascii="黑体" w:eastAsia="黑体" w:cs="宋体"/>
          <w:sz w:val="28"/>
          <w:szCs w:val="28"/>
        </w:rPr>
      </w:pPr>
    </w:p>
    <w:p>
      <w:pPr>
        <w:spacing w:line="240" w:lineRule="exact"/>
        <w:jc w:val="left"/>
        <w:rPr>
          <w:rFonts w:hint="eastAsia" w:ascii="黑体" w:eastAsia="黑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黑体" w:eastAsia="黑体" w:cs="宋体"/>
          <w:sz w:val="28"/>
          <w:szCs w:val="28"/>
        </w:rPr>
      </w:pPr>
    </w:p>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0"/>
    <w:family w:val="decorative"/>
    <w:pitch w:val="default"/>
    <w:sig w:usb0="E0002AFF" w:usb1="C0007843" w:usb2="00000009" w:usb3="00000000" w:csb0="400001FF" w:csb1="FFFF0000"/>
  </w:font>
  <w:font w:name="font-weight : 400">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永中宋体">
    <w:altName w:val="宋体"/>
    <w:panose1 w:val="02010600030001010101"/>
    <w:charset w:val="7A"/>
    <w:family w:val="auto"/>
    <w:pitch w:val="default"/>
    <w:sig w:usb0="00000000" w:usb1="00000000" w:usb2="00000000" w:usb3="00000000" w:csb0="00040001" w:csb1="00000000"/>
  </w:font>
  <w:font w:name="Arial">
    <w:panose1 w:val="020B0604020202020204"/>
    <w:charset w:val="01"/>
    <w:family w:val="roman"/>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F5B39"/>
    <w:rsid w:val="490F5B39"/>
    <w:rsid w:val="6BF038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Office_10.6.0.5368_F1E327BC-269C-435d-A152-05C5408002CA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2016-10-25T09:02:00Z</dcterms:created>
  <dc:creator>李晓燕(收文岗)</dc:creator>
  <cp:lastModifiedBy>李晓燕(收文岗)</cp:lastModifiedBy>
  <dcterms:modified xsi:type="dcterms:W3CDTF">2016-10-25T09:03:26Z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2052-10.6.0.5368</vt:lpwstr>
  </property>
</Properties>
</file>