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737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20"/>
        <w:gridCol w:w="1440"/>
        <w:gridCol w:w="720"/>
        <w:gridCol w:w="1800"/>
        <w:gridCol w:w="2622"/>
        <w:gridCol w:w="2235"/>
        <w:gridCol w:w="1263"/>
        <w:gridCol w:w="1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widowControl/>
              <w:shd w:val="clear" w:fill="FFFFFF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2003" w:leftChars="342" w:right="0" w:hanging="1285" w:hangingChars="400"/>
              <w:jc w:val="both"/>
              <w:rPr>
                <w:b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</w:rPr>
              <w:t>附件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  <w:lang w:val="en-US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  <w:lang w:val="en-US"/>
              </w:rPr>
              <w:instrText xml:space="preserve"> HYPERLINK "http://222.85.160.78:3623/UploadFiles/xwgk/2015/4/2015429203018.doc" </w:instrTex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  <w:lang w:val="en-US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  <w:lang w:val="en-US"/>
              </w:rPr>
              <w:t>铜仁幼儿师范高等专科学校2016年公开招聘工作人员职位及条件一览表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  <w:shd w:val="clear" w:fill="FFFFFF"/>
                <w:lang w:val="en-U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用人条件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招聘方式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职位简介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6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酒店管理教师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旅游管理教师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普通话教师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普通话一级乙等及以上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需做专业测试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音乐表演、音乐学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音乐学专业（扬琴、琵琶、钢琴方向）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需做专业测试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体育学类（篮球方向）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需做专业测试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设计学类、美术学类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需做专业测试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舞蹈学、舞蹈表演、舞蹈编导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需做专业测试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808000"/>
                <w:sz w:val="20"/>
                <w:szCs w:val="20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英语、英语教育、学科教育（英语）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需作专业测试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心理健康教育中心辅导员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普通话二级乙等及以上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普通高校全日制专科及以上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本科及以上为教育学类；专科为：初等教育、学前教育、音乐教育、舞蹈教育、体育教育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普通话二级乙等及以上，中共党员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教辅人员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计算机及相关专业、汉语言文学、数学与应用数学、思想政治、教育学、心理学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会计及相关专业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有会计从业资格证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保卫人员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普通高校全日制专科及以上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公安管理类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从事学校安全保卫、夜间巡逻工作</w:t>
            </w:r>
          </w:p>
        </w:tc>
      </w:tr>
    </w:tbl>
    <w:p>
      <w:pPr/>
      <w:bookmarkStart w:id="0" w:name="_GoBack"/>
      <w:bookmarkEnd w:id="0"/>
    </w:p>
    <w:sectPr>
      <w:pgSz w:w="15840" w:h="12240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50D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rFonts w:hint="eastAsia" w:ascii="微软雅黑" w:hAnsi="微软雅黑" w:eastAsia="微软雅黑" w:cs="微软雅黑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2016-04-11T06:49:36Z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