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2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报名注意事项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20" w:lineRule="exact"/>
        <w:ind w:left="0" w:right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579" w:firstLineChars="181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各位考生，为帮助您在规定时限内快捷准确办理报名手续，请务必认真阅读本注意事项。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630" w:firstLineChars="196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"/>
        </w:rPr>
        <w:t>一、报名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482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"/>
        </w:rPr>
        <w:t>（一）报名时间：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2016 年5月6日9:00至2016年5月16日17:00。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 w:firstLine="964" w:firstLineChars="300"/>
        <w:jc w:val="left"/>
        <w:rPr>
          <w:rFonts w:hint="default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（二）报名网站：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http://www.sqqjyj.com/</w:t>
      </w:r>
      <w:r>
        <w:rPr>
          <w:rFonts w:hint="default" w:ascii="仿宋_GB2312" w:hAnsi="宋体" w:eastAsia="仿宋_GB2312" w:cs="Tahoma"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482"/>
        <w:jc w:val="left"/>
        <w:rPr>
          <w:rFonts w:hint="default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default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缴费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482"/>
        <w:jc w:val="left"/>
        <w:rPr>
          <w:rFonts w:hint="default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（一）缴费方法：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482"/>
        <w:jc w:val="left"/>
        <w:rPr>
          <w:rFonts w:hint="default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本次缴费采用网上缴费，报名成功后，点击“我要缴费”，登录网上银行，进行网上缴费。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482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"/>
        </w:rPr>
        <w:t>（二）缴费时间：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2016年5月6日9:00至5月17日17:00。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482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"/>
        </w:rPr>
        <w:t>三、注意事项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482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1、阅知《承德市双桥区2016年公开招聘教师简章》和《承德市双桥区2016年公开招聘教师岗位信息表》，了解政策规定和报考岗位所需条件，注意所学专业与岗位信息表报考专业范围是否一致,是否符合“其它条件”要求；阅知《考场注意事项》、《考试违纪违规行为处理办法》及《诚信承诺书》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482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2、电子照片要求：近期、免冠、正面、证件照，格式为jpg格式，大小为30KB以下（照片不符合要求将可能影响您正常参加考试，请按要求上传照片）。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48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3、报名人员须在规定时间内完成报名手续，并对自己提交的数据准确性和完整性负责。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48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4、报名结束后，不受理任何信息修改的申请。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156" w:afterAutospacing="0" w:line="600" w:lineRule="exact"/>
        <w:ind w:left="0" w:right="0" w:firstLine="630" w:firstLineChars="196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lang w:val="en-US" w:eastAsia="zh-CN" w:bidi="ar"/>
        </w:rPr>
        <w:t>四、其他事项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643" w:leftChars="229" w:right="0" w:hanging="160" w:hangingChars="5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1、笔试成绩、资格复查、面试入围情况等信息查询，请关注承德市双桥区教育局网站（http://www.sqqjyj.com）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双桥区政府信息网（网址：http://www.sqqgov.cn）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公告。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643" w:leftChars="229" w:right="0" w:hanging="160" w:hangingChars="5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2、报名过程中遇到的政策、资格条件、审核等问题，请联系承德市双桥区教育局人事股,电话：0314-2066523。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0" w:firstLine="482"/>
        <w:jc w:val="left"/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400" w:firstLine="480"/>
        <w:jc w:val="righ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400" w:firstLine="480"/>
        <w:jc w:val="righ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承德市双桥区公开招聘领导小组办公室 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400" w:firstLine="480"/>
        <w:jc w:val="right"/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2016年4月27日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00" w:lineRule="exact"/>
        <w:ind w:left="0" w:right="400" w:firstLine="480"/>
        <w:jc w:val="right"/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 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F0B39"/>
    <w:rsid w:val="02EF0B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2016-04-29T11:37:00Z</dcterms:created>
  <dc:creator>ccl</dc:creator>
  <cp:lastModifiedBy>ccl</cp:lastModifiedBy>
  <dcterms:modified xsi:type="dcterms:W3CDTF">2016-04-29T11:37:52Z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