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088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740"/>
        <w:gridCol w:w="1528"/>
        <w:gridCol w:w="1265"/>
        <w:gridCol w:w="1265"/>
        <w:gridCol w:w="1265"/>
        <w:gridCol w:w="1265"/>
        <w:gridCol w:w="1019"/>
        <w:gridCol w:w="2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32"/>
                <w:szCs w:val="32"/>
              </w:rPr>
              <w:t>附件：</w:t>
            </w:r>
            <w:r>
              <w:rPr>
                <w:rFonts w:asci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  <w:t>阜平县</w:t>
            </w:r>
            <w:r>
              <w:rPr>
                <w:rFonts w:asci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  <w:t>2016</w:t>
            </w:r>
            <w:r>
              <w:rPr>
                <w:rFonts w:hint="eastAsia" w:ascii="黑体" w:eastAsia="黑体" w:cs="黑体"/>
                <w:b/>
                <w:bCs/>
                <w:color w:val="000000"/>
                <w:kern w:val="0"/>
                <w:sz w:val="44"/>
                <w:szCs w:val="44"/>
              </w:rPr>
              <w:t>年县直医院选聘岗位信息表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6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74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1038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招聘类别及相应报考专业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96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临床医学专业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（内科）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临床医学专业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（普外科）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临床医学专业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（骨科）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临床医学专业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（妇产科）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临床医学专业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（儿科）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合计</w:t>
            </w: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（人数）</w:t>
            </w:r>
          </w:p>
        </w:tc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阜平县医院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全日制本科二批及以上学历。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150913A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150913B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150913C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150913D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150913E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阜平县中医医院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150914A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150914B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150914C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150914D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  <w:t>150914E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474" w:right="1304" w:bottom="1474" w:left="1304" w:header="851" w:footer="992" w:gutter="0"/>
      <w:pgNumType w:fmt="numberInDash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2C"/>
    <w:rsid w:val="00802A73"/>
    <w:rsid w:val="008E7FD4"/>
    <w:rsid w:val="0093632C"/>
    <w:rsid w:val="00F843C3"/>
    <w:rsid w:val="7D6709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Char Char Char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542</Characters>
  <Lines>4</Lines>
  <Paragraphs>1</Paragraphs>
  <ScaleCrop>false</ScaleCrop>
  <LinksUpToDate>false</LinksUpToDate>
  <CharactersWithSpaces>635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2016-07-18T03:29:00Z</dcterms:created>
  <dc:creator>Administrator</dc:creator>
  <cp:lastModifiedBy>Administrator</cp:lastModifiedBy>
  <dcterms:modified xsi:type="dcterms:W3CDTF">2016-07-18T08:15:42Z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