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color w:val="auto"/>
          <w:sz w:val="36"/>
          <w:szCs w:val="36"/>
        </w:rPr>
      </w:pPr>
      <w:r>
        <w:rPr>
          <w:rFonts w:ascii="Times New Roman" w:hAnsi="Times New Roman" w:eastAsia="仿宋"/>
          <w:b/>
          <w:bCs/>
          <w:color w:val="auto"/>
          <w:sz w:val="36"/>
          <w:szCs w:val="36"/>
        </w:rPr>
        <w:t>长沙力都商务置业有限公司简介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长沙力都商务置业有限公司是长沙经开集团的全资子公司，成立于2014年2月，注册</w:t>
      </w:r>
      <w:bookmarkStart w:id="0" w:name="_GoBack"/>
      <w:bookmarkEnd w:id="0"/>
      <w:r>
        <w:rPr>
          <w:rFonts w:ascii="Times New Roman" w:hAnsi="Times New Roman" w:eastAsia="仿宋"/>
          <w:color w:val="auto"/>
          <w:sz w:val="32"/>
          <w:szCs w:val="32"/>
        </w:rPr>
        <w:t>资本2亿元。公司主要经营范围为房地产经营开发、自有房地产经营活动、房屋租赁等。公司乘着长沙经开区“推进三个融合、建设三高园区”新思路、新理念的东风扬帆奋进，肩负着长沙经开区转型创新提升发展的重要使命，是长沙经开集团片区开发和地产业务板块的重要平台，是长沙经开区未来财富洼地——长沙人民东路两厢片区（长沙经开区段）开发建设的唯一主体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长沙人民东路两厢片区（长沙经开区段）是长沙经开区“一主一次两主轴”的重要组成部分，将按照“长株潭国家自主创新示范区核心区”的定位和“规划建设一流、业态一流、配套一流”的思路，全力打造新的产城融合综合区。该片区总占地面积达18.33平方公里，东临黄花空港城、综合保税区，西接长沙市芙蓉区，南毗长沙国际会展中心、高铁新区，北界长沙县城、松雅湖商务区，地理位置得天独厚，片区内集高速公路、高速铁路、机场、磁悬浮、地铁等立体交通于一体，长沙地铁6号线横贯片区东西，在片区内设有多个站点，该片区是全国难得的、难以复制的黄金片区之一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color w:val="auto"/>
          <w:sz w:val="32"/>
          <w:szCs w:val="32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公司拥有广阔的发展空间和良好的运行机制，诚邀各路精英加盟，共创事业辉煌！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72F8A"/>
    <w:rsid w:val="70272F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2016-10-27T06:58:00Z</dcterms:created>
  <dc:creator>Administrator</dc:creator>
  <cp:lastModifiedBy>Administrator</cp:lastModifiedBy>
  <dcterms:modified xsi:type="dcterms:W3CDTF">2016-10-27T06:58:39Z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