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2016年江西公务员考试《申论》真题卷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（一）根据给定资料1、2，概括当代社会中“90后”群体开展创业的优势。（15分）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要求：内容全面、观点明确、语言简洁。不超过150字。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（二）给定资料7提到“创业成功是一个小概率的事件”。请你根据给定资料7，就大学生如何提高创业成功率提出建议。(20分)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要求：观点明确，建议可行；语言简洁，有逻辑性；不超过300字。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（三）假定你是有关部门的一名工作人员，准备将“比逗咖啡馆”的创业经验向广大学生进行推介，请根据给定资料3～5，归纳总结“比逗咖啡馆”的主要成功经验。（25分）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（四）星巴克CEO舒尔茨曾说：“为钱创业是肤浅的，应为梦想所驱动。”请你根据对这句话的理解，自选角度，自拟题目，写一篇文章。(40分)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要求：观点明确，认识深刻；内容充实，结构完整；逻辑清晰，语言流畅。800~1000字。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253A6812"/>
    <w:rsid w:val="31D47B43"/>
    <w:rsid w:val="35BB503A"/>
    <w:rsid w:val="49450F1D"/>
    <w:rsid w:val="4CF45CBD"/>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