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　2016年</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begin"/>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instrText xml:space="preserve"> HYPERLINK "http://www.gjgwy.org/zhejiang/" \t "http://www.gjgwy.org/201604/_blank" </w:instrTex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separate"/>
      </w:r>
      <w:r>
        <w:rPr>
          <w:rStyle w:val="5"/>
          <w:rFonts w:ascii="宋体" w:hAnsi="宋体" w:eastAsia="宋体" w:cs="宋体"/>
          <w:i w:val="0"/>
          <w:caps w:val="0"/>
          <w:color w:val="000099"/>
          <w:spacing w:val="0"/>
          <w:sz w:val="21"/>
          <w:szCs w:val="21"/>
          <w:u w:val="none"/>
          <w:bdr w:val="none" w:color="auto" w:sz="0" w:space="0"/>
          <w:shd w:val="clear" w:fill="F9F9F9"/>
        </w:rPr>
        <w:t>浙江公务员考试</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end"/>
      </w: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begin"/>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instrText xml:space="preserve"> HYPERLINK "http://www.gjgwy.org/slfd/" \t "http://www.gjgwy.org/201604/_blank" </w:instrTex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separate"/>
      </w:r>
      <w:r>
        <w:rPr>
          <w:rStyle w:val="5"/>
          <w:rFonts w:ascii="宋体" w:hAnsi="宋体" w:eastAsia="宋体" w:cs="宋体"/>
          <w:i w:val="0"/>
          <w:caps w:val="0"/>
          <w:color w:val="000099"/>
          <w:spacing w:val="0"/>
          <w:sz w:val="21"/>
          <w:szCs w:val="21"/>
          <w:u w:val="none"/>
          <w:bdr w:val="none" w:color="auto" w:sz="0" w:space="0"/>
          <w:shd w:val="clear" w:fill="F9F9F9"/>
        </w:rPr>
        <w:t>申论</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end"/>
      </w: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》真题卷（A）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1.本题本由给定资料与作答要求两部分组成。考试时间为150分钟。其中，阅读给定资料参考时限为40分钟，作答参考时限为110分钟。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2.请在题本、答题卡指定位置上用黑色字迹的钢笔或签字笔填写自己的姓名和准考证号，并用2B铅笔在准考证号对应的数字上填涂。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3.请用黑色字迹的钢笔或签字笔在答题卡上指定的区域内作答，超出答题区域的作答无效！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4.待监考人员宣布考试开始后，你才可以开始答题。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5.所有题目一律使用现代汉语作答，未按要求作答的，不得分。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6.监考人员宣布考试结束时，考生应立即停止作答，将题本、答题卡和草稿纸都翻过来留在桌上，待监考人员确认数量无误、允许离开后，方可离开。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严禁折叠答题卡！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二、给定材料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也有分析人士认为，很多90后在创业心态上有了改变，他们不像做企业，更像做项目，对于成功的渴望不是很强烈，有时甚至只把这当做一种体验。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马洛里第二次攀登珠峰时，到达了8300米之处，离顶峰只有500米之遥。这一年最大的收获是发现了氧气的确切效用，并确立了高山氧气设备的基本模式——气瓶、气管、面罩，后世的人们只增加了一个调节器。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从某种意义上说，每个真正创业的人，在他的内心深处都耸立着一座高山，而生命不息，攀登不止，正是真正创业者的境界所在。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（一）根据给定资料3～5，分析众筹的特点。（20分）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要求：概括准确，内容全面，表述清晰，字数不超过300字。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（二）假如你是某大学就业指导中心的工作人员，受邀为即将毕业的大学生做一次关于“创业”的专题报告，请你结合给定资料6，为其草拟一份讲话稿。（30分）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要求：观点明确，建议可行，语言简洁，有逻辑性。不超过350字。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（三）材料8中乔治·马洛里的名句“因为山在那里”，影响了无数敢于探索、勇于攀登的人。请你结合这句话的含义，联系实际，以“创业者心中的山”为话题，自选角度、自拟题目，写一篇议论文章。（50分）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要求：参考给定材料，但不拘泥于给定材料；认识深刻、立意明确、观点鲜明，内容充实；结构完整、思路清晰、语言流畅、卷面整洁；1000~1200字。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众筹的主要特点有：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一是聚集众多资源。联合创始人涉及金融、移动互联网、新媒体、教育等多个领域，通过不断创新，解决资金、人才难题。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二是创新创业模式。众筹把投资者、消费者、传播者三种身分合为一，消费者就是投资者和生产者。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三是具有裂变效应。众筹将外部交易为内部合作，机会增多，一个项目可衍生出多个项目。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四是众筹校园化。学生参与投资意愿高、数量庞大、宣传力度强，校园众筹注重提高股东活跃度，坚持“专业的事给专业的人做”原则，通过举办创业交流活动，获取更专业的指导，并依照学生特点设置股权流转计划。（243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创业维艰勇敢前行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各位毕业生朋友们：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如今，国家大力提倡“大众创业，万众创新”，创业成为时尚，为大学生创业营造了良好氛围。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最后，我想告诉同学们，创业没有失败者，希望大家抵抗诱惑，不惧艰险，勇敢向着梦想前行！（320字）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心中有山勇于攀登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大众创业，万众创新”的时代精神的感召下，“创客运动”勃然兴起，很多社会力量、社会团体甚至个人纷纷投身于创新、创业的时代潮流中，这其中固然有欢笑、有鲜花、有掌声，但也不乏汗水、泪水，甚至还有挫折、失败的煎熬。创业犹如登山，只要选择了创业这条路，就需要心中有山，怀揣梦想，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心中有山，怀揣梦想，勇攀高峰。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精神的力量是不可估量的。一个创业团队，只有拥有清楚的目标，明确的方向，才能形成一股强大的向心力，为了共同的目标去努力奋斗。尤其是近几年，创业越来越平民化，很多创业团队突破了以传统利益结合的模式，更多的是因兴趣相投而聚集到一起。有着相同兴趣的几个人，为了共同的目标而聚在一起，甚至都不计个人得失。在这种背景下，目标、理想的作用就越来越凸显出来。一八九八咖啡馆的成功，很大原因就是因为找到了一群可以相互信任、相互背书、又都不错的人，他们有着共同的目标，有着共同的理想，并为之努力奋斗。如果他们失去了将比逗咖啡打造成一流“创业交流”休闲平台这座心中的山，他们也不会取得今天的成功。同样，如果没有共同的理想和目标，也不会出现华为奇迹，同样也不会出现新东方的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心中有山，攀登不止，砥砺前行。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依然在于探索和创新。我们不用奢望每个人都能成为马云，马云在上世纪九十年代就发现了互联网经济的巨大商机，并组建了自己的创业团队，克服各种困难和挫折，打造了阿里巴巴的商业神话。其实，很简单的一件小事，比如将互联网APP引入商业KTV，将休闲娱乐的咖啡厅打造成创业交流的平台，又何尝不是一种创新？又何尝不能成就另一个商业奇迹？在社会急剧变革、时代飞速发展的今天，传统的经营模式越来越难以适应时代的潮流，尤其是对于处于创业阶段的企业、团体和个人而言，没有探索、没有创新、没有坚持，任何事业只能一步步走入死胡同，陷于失败的境地。唯有探索、唯有创新、唯有坚持，才能让团队立于不败之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唯有如此，理想的山峰才不会遥不可及；唯有如此，大众创业、万众创新才能在中华大地遍地开花，结出五彩缤纷、美丽绚烂的理想的果实；也唯有如此，中华民族伟大复兴的中国梦才能过早日实现。（1011字）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　　2016年</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begin"/>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instrText xml:space="preserve"> HYPERLINK "http://www.gjgwy.org/zhejiang/" \t "http://www.gjgwy.org/201604/_blank" </w:instrTex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separate"/>
      </w:r>
      <w:r>
        <w:rPr>
          <w:rStyle w:val="5"/>
          <w:rFonts w:ascii="宋体" w:hAnsi="宋体" w:eastAsia="宋体" w:cs="宋体"/>
          <w:i w:val="0"/>
          <w:caps w:val="0"/>
          <w:color w:val="000099"/>
          <w:spacing w:val="0"/>
          <w:sz w:val="21"/>
          <w:szCs w:val="21"/>
          <w:u w:val="none"/>
          <w:bdr w:val="none" w:color="auto" w:sz="0" w:space="0"/>
          <w:shd w:val="clear" w:fill="F9F9F9"/>
        </w:rPr>
        <w:t>浙江公务员考试</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end"/>
      </w: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begin"/>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instrText xml:space="preserve"> HYPERLINK "http://www.gjgwy.org/slfd/" \t "http://www.gjgwy.org/201604/_blank" </w:instrTex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separate"/>
      </w:r>
      <w:r>
        <w:rPr>
          <w:rStyle w:val="5"/>
          <w:rFonts w:ascii="宋体" w:hAnsi="宋体" w:eastAsia="宋体" w:cs="宋体"/>
          <w:i w:val="0"/>
          <w:caps w:val="0"/>
          <w:color w:val="000099"/>
          <w:spacing w:val="0"/>
          <w:sz w:val="21"/>
          <w:szCs w:val="21"/>
          <w:u w:val="none"/>
          <w:bdr w:val="none" w:color="auto" w:sz="0" w:space="0"/>
          <w:shd w:val="clear" w:fill="F9F9F9"/>
        </w:rPr>
        <w:t>申论</w:t>
      </w:r>
      <w:r>
        <w:rPr>
          <w:rStyle w:val="4"/>
          <w:rFonts w:ascii="宋体" w:hAnsi="宋体" w:eastAsia="宋体" w:cs="宋体"/>
          <w:i w:val="0"/>
          <w:caps w:val="0"/>
          <w:color w:val="000099"/>
          <w:spacing w:val="0"/>
          <w:kern w:val="0"/>
          <w:sz w:val="21"/>
          <w:szCs w:val="21"/>
          <w:u w:val="none"/>
          <w:bdr w:val="none" w:color="auto" w:sz="0" w:space="0"/>
          <w:shd w:val="clear" w:fill="F9F9F9"/>
          <w:lang w:val="en-US" w:eastAsia="zh-CN" w:bidi="ar"/>
        </w:rPr>
        <w:fldChar w:fldCharType="end"/>
      </w:r>
      <w:r>
        <w:rPr>
          <w:rStyle w:val="4"/>
          <w:rFonts w:ascii="宋体" w:hAnsi="宋体" w:eastAsia="宋体" w:cs="宋体"/>
          <w:i w:val="0"/>
          <w:caps w:val="0"/>
          <w:color w:val="000000"/>
          <w:spacing w:val="0"/>
          <w:kern w:val="0"/>
          <w:sz w:val="21"/>
          <w:szCs w:val="21"/>
          <w:bdr w:val="none" w:color="auto" w:sz="0" w:space="0"/>
          <w:shd w:val="clear" w:fill="F9F9F9"/>
          <w:lang w:val="en-US" w:eastAsia="zh-CN" w:bidi="ar"/>
        </w:rPr>
        <w:t>》真题卷（B）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1.本题本由给定资料与作答要求两部分组成。考试时间为150分钟。其中，阅读给定资料参考时限为40分钟，作答参考时限为110分钟。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2.请在题本、答题卡指定位置上用黑色字迹的钢笔或签字笔填写自己的姓名和准考证号，并用2B铅笔在准考证号对应的数字上填涂。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3.请用黑色字迹的钢笔或签字笔在答题卡上指定的区域内作答，超出答题区域的作答无效！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4.待监考人员宣布考试开始后，你才可以开始答题。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5.所有题目一律使用现代汉语作答，未按要求作答的，不得分。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6.监考人员宣布考试结束时，考生应立即停止作答，将题本、答题卡和草稿纸都翻过来留在桌上，待监考人员确认数量无误、允许离开后，方可离开。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严禁折叠答题卡！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二、给定材料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也有分析人士认为，很多90后在创业心态上有了改变，他们不像做企业，更像做项目，对于成功的渴望不是很强烈，有时甚至只把这当做一种体验。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资料8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马洛里第二次攀登珠峰时，到达了8300米之处，离顶峰只有500米之遥。这一年最大的收获是发现了氧气的确切效用，并确立了高山氧气设备的基本模式——气瓶、气管、面罩，后世的人们只增加了一个调节器。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从某种意义上说，每个真正创业的人，在他的内心深处都耸立着一座高山，而生命不息，攀登不止，正是真正创业者的境界所在。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（一）给定资料7提到“创业成功是一个小概率的事件”。请你根据给定资料，就大学生如何提高创业成功率提出建议。（20分）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要求：观点明确，建议可行；语言简洁，有逻辑性；不超过200字。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（二）根据给定资料3～5，分析众筹的特点。（30分）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要求：概括准确，内容全面，表述清晰，字数不超过300字。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（三）材料8中乔治·马洛里的名句“因为山在那里”，影响了无数敢于探索、勇于攀登的人。请你结合这句话的含义，联系实际，以“创业者心中的山”为话题，自选角度、自拟题目，写一篇议论文章。（50分）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要求：参考给定材料，但不拘泥于给定材料；认识深刻、立意明确、观点鲜明，内容充实；结构完整、思路清晰、语言流畅、卷面整洁；1000~1200字。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提高创业成功率需要创业者、学校和政府共同努力。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学校方面，要培养大学生正确的创业动机，教育创业者摒弃急功近利的创业心态。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创业者方面，理性选择创业项目，在对各行业进行现实、有效的市场调查基础上选择创业项目，立足学校及社会资源优势开发创新项目。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政府方面，应加快完善创业配套法律体系，营造良好的创业政策和法治环境，健全知识产权制度，引导大学生创业者学会运用法律手段维护自身权益、降低创业风险。（192字）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众筹的主要特点有：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一是聚集众多资源。联合创始人涉及金融、移动互联网、新媒体、教育等多个领域，通过不断创新，解决资金、人才难题。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二是创新创业模式。众筹把投资者、消费者、传播者三种身分合为一，消费者就是投资者和生产者。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三是具有裂变效应。众筹将外部交易为内部合作，机会增多，一个项目可衍生出多个项目。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四是众筹校园化。学生参与投资意愿高、数量庞大、宣传力度强，校园众筹注重提高股东活跃度，坚持“专业的事给专业的人做”原则，通过举办创业交流活动，获取更专业的指导，并依照学生特点设置股权流转计划。（243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（三）【参考答案】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心中有山勇于攀登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在“大众创业，万众创新”的时代精神的感召下，“创客运动”勃然兴起，很多社会力量、社会团体甚至个人纷纷投身于创新、创业的时代潮流中，这其中固然有欢笑、有鲜花、有掌声，但也不乏汗水、泪水，甚至还有挫折、失败的煎熬。创业犹如登山，只要选择了创业这条路，就需要心中有山，怀揣梦想，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心中有山，怀揣梦想，勇攀高峰。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精神的力量是不可估量的。一个创业团队，只有拥有清楚的目标，明确的方向，才能形成一股强大的向心力，为了共同的目标去努力奋斗。尤其是近几年，创业越来越平民化，很多创业团队突破了以传统利益结合的模式，更多的是因兴趣相投而聚集到一起。有着相同兴趣的几个人，为了共同的目标而聚在一起，甚至都不计个人得失。在这种背景下，目标、理想的作用就越来越凸显出来。一八九八咖啡馆的成功，很大原因就是因为找到了一群可以相互信任、相互背书、又都不错的人，他们有着共同的目标，有着共同的理想，并为之努力奋斗。如果他们失去了将比逗咖啡打造成一流“创业交流”休闲平台这座心中的山，他们也不会取得今天的成功。同样，如果没有共同的理想和目标，也不会出现华为奇迹，同样也不会出现新东方的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心中有山，攀登不止，砥砺前行。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依然在于探索和创新。我们不用奢望每个人都能成为马云，马云在上世纪九十年代就发现了互联网经济的巨大商机，并组建了自己的创业团队，克服各种困难和挫折，打造了阿里巴巴的商业神话。其实，很简单的一件小事，比如将互联网APP引入商业KTV，将休闲娱乐的咖啡厅打造成创业交流的平台，又何尝不是一种创新？又何尝不能成就另一个商业奇迹？在社会急剧变革、时代飞速发展的今天，传统的经营模式越来越难以适应时代的潮流，尤其是对于处于创业阶段的企业、团体和个人而言，没有探索、没有创新、没有坚持，任何事业只能一步步走入死胡同，陷于失败的境地。唯有探索、唯有创新、唯有坚持，才能让团队立于不败之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唯有如此，理想的山峰才不会遥不可及；唯有如此，大众创业、万众创新才能在中华大地遍地开花，结出五彩缤纷、美丽绚烂的理想的果实；也唯有如此，中华民族伟大复兴的中国梦才能过早日实现。（1011字）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08370DD"/>
    <w:rsid w:val="46743CC9"/>
    <w:rsid w:val="49450F1D"/>
    <w:rsid w:val="4CF45CBD"/>
    <w:rsid w:val="511F2289"/>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