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0"/>
          <w:szCs w:val="20"/>
        </w:rPr>
      </w:pPr>
      <w:r>
        <w:rPr>
          <w:rFonts w:ascii="黑体" w:hAnsi="宋体" w:eastAsia="黑体" w:cs="黑体"/>
          <w:b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选调计划</w:t>
      </w:r>
    </w:p>
    <w:tbl>
      <w:tblPr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3"/>
        <w:gridCol w:w="977"/>
        <w:gridCol w:w="1639"/>
        <w:gridCol w:w="1713"/>
        <w:gridCol w:w="3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选调岗位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选调计划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专业要求</w:t>
            </w: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财务管理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会计学、财务管理</w:t>
            </w:r>
          </w:p>
        </w:tc>
        <w:tc>
          <w:tcPr>
            <w:tcW w:w="17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国家教育行政主管部门认可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40周岁以下（1977年6月30日以后出生）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综合管理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不限专业</w:t>
            </w: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  <w:bdr w:val="none" w:color="auto" w:sz="0" w:space="0"/>
              </w:rPr>
              <w:t>35周岁以下（1982年6月30日后出生）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375E6"/>
    <w:rsid w:val="1C2375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2017-03-29T11:10:00Z</dcterms:created>
  <dc:creator>ASUS</dc:creator>
  <cp:lastModifiedBy>ASUS</cp:lastModifiedBy>
  <dcterms:modified xsi:type="dcterms:W3CDTF">2017-03-29T11:10:46Z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