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  <w:t>资格审查分区安排表</w:t>
      </w:r>
    </w:p>
    <w:tbl>
      <w:tblPr>
        <w:tblStyle w:val="4"/>
        <w:tblpPr w:leftFromText="180" w:rightFromText="180" w:vertAnchor="text" w:horzAnchor="page" w:tblpX="1429" w:tblpY="601"/>
        <w:tblOverlap w:val="never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2745"/>
        <w:gridCol w:w="1133"/>
        <w:gridCol w:w="420"/>
        <w:gridCol w:w="667"/>
        <w:gridCol w:w="2865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长沙教育学院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长沙市雷锋学校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长沙市长郡湘府中学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长沙市田家炳实验中学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长沙市明德华兴中学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长沙麓山国际实验学校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长沙市长郡梅溪湖中学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长沙市周南实验中学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长沙艺术实验学校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长沙市周南梅溪湖中学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长沙市教育局幼儿园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长沙市教育科学研究院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长沙市师大附中梅溪湖中学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长沙市教育后勤产业管理处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长沙市少年宫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长沙市长郡滨江中学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4区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18"/>
          <w:szCs w:val="18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85ADF"/>
    <w:rsid w:val="7C185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2017-04-21T08:04:00Z</dcterms:created>
  <dc:creator>Administrator</dc:creator>
  <cp:lastModifiedBy>Administrator</cp:lastModifiedBy>
  <dcterms:modified xsi:type="dcterms:W3CDTF">2017-04-21T08:04:41Z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