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700" w:type="dxa"/>
        <w:tblCellSpacing w:w="0" w:type="dxa"/>
        <w:tblInd w:w="15" w:type="dxa"/>
        <w:shd w:val="clear" w:color="auto" w:fill="FFFFFF"/>
        <w:tblLayout w:type="fixed"/>
        <w:tblCellMar>
          <w:top w:w="0" w:type="dxa"/>
          <w:left w:w="0" w:type="dxa"/>
          <w:bottom w:w="0" w:type="dxa"/>
          <w:right w:w="0" w:type="dxa"/>
        </w:tblCellMar>
      </w:tblPr>
      <w:tblGrid>
        <w:gridCol w:w="1188"/>
        <w:gridCol w:w="1683"/>
        <w:gridCol w:w="3168"/>
        <w:gridCol w:w="791"/>
        <w:gridCol w:w="495"/>
        <w:gridCol w:w="594"/>
        <w:gridCol w:w="1682"/>
        <w:gridCol w:w="99"/>
      </w:tblGrid>
      <w:tr>
        <w:tblPrEx>
          <w:shd w:val="clear" w:color="auto" w:fill="FFFFFF"/>
          <w:tblLayout w:type="fixed"/>
          <w:tblCellMar>
            <w:top w:w="0" w:type="dxa"/>
            <w:left w:w="0" w:type="dxa"/>
            <w:bottom w:w="0" w:type="dxa"/>
            <w:right w:w="0" w:type="dxa"/>
          </w:tblCellMar>
        </w:tblPrEx>
        <w:trPr>
          <w:trHeight w:val="735" w:hRule="atLeast"/>
          <w:tblCellSpacing w:w="0" w:type="dxa"/>
        </w:trPr>
        <w:tc>
          <w:tcPr>
            <w:tcW w:w="1188"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科室</w:t>
            </w:r>
          </w:p>
        </w:tc>
        <w:tc>
          <w:tcPr>
            <w:tcW w:w="1683"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人员类别</w:t>
            </w:r>
          </w:p>
        </w:tc>
        <w:tc>
          <w:tcPr>
            <w:tcW w:w="3168"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专业方向</w:t>
            </w:r>
          </w:p>
        </w:tc>
        <w:tc>
          <w:tcPr>
            <w:tcW w:w="1880" w:type="dxa"/>
            <w:gridSpan w:val="3"/>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计划人数</w:t>
            </w:r>
          </w:p>
        </w:tc>
        <w:tc>
          <w:tcPr>
            <w:tcW w:w="1682" w:type="dxa"/>
            <w:vMerge w:val="restart"/>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备注</w:t>
            </w: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1146" w:hRule="atLeast"/>
          <w:tblCellSpacing w:w="0" w:type="dxa"/>
        </w:trPr>
        <w:tc>
          <w:tcPr>
            <w:tcW w:w="1188"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1683"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3168"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博士或硕士</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本科</w:t>
            </w: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大专</w:t>
            </w:r>
          </w:p>
        </w:tc>
        <w:tc>
          <w:tcPr>
            <w:tcW w:w="1682" w:type="dxa"/>
            <w:vMerge w:val="continue"/>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772"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全院各科室</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博士或硕士</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临床医学类、医学技术类等医院相关专业。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心血管病学、神经外科学、神经病学、重症医学、呼吸病学、妇科学、骨外科学、感染性疾病学等专业同时招聘科研型或与本专业相关的基础医学博士或硕士。</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30</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博士年龄45周岁以下，硕士要求择业期内。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二、博士待遇：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1、180平方米住房一套；</w:t>
            </w:r>
            <w:r>
              <w:rPr>
                <w:rFonts w:hint="eastAsia" w:ascii="宋体" w:hAnsi="宋体" w:eastAsia="宋体" w:cs="宋体"/>
                <w:b w:val="0"/>
                <w:i w:val="0"/>
                <w:caps w:val="0"/>
                <w:color w:val="605F5F"/>
                <w:spacing w:val="0"/>
                <w:sz w:val="21"/>
                <w:szCs w:val="21"/>
                <w:bdr w:val="none" w:color="auto" w:sz="0" w:space="0"/>
              </w:rPr>
              <w:br w:type="textWrapping"/>
            </w:r>
            <w:r>
              <w:rPr>
                <w:rFonts w:hint="eastAsia" w:ascii="宋体" w:hAnsi="宋体" w:eastAsia="宋体" w:cs="宋体"/>
                <w:b w:val="0"/>
                <w:i w:val="0"/>
                <w:caps w:val="0"/>
                <w:color w:val="605F5F"/>
                <w:spacing w:val="0"/>
                <w:sz w:val="21"/>
                <w:szCs w:val="21"/>
                <w:bdr w:val="none" w:color="auto" w:sz="0" w:space="0"/>
              </w:rPr>
              <w:t> 2、科研启动经费；</w:t>
            </w:r>
            <w:r>
              <w:rPr>
                <w:rFonts w:hint="eastAsia" w:ascii="宋体" w:hAnsi="宋体" w:eastAsia="宋体" w:cs="宋体"/>
                <w:b w:val="0"/>
                <w:i w:val="0"/>
                <w:caps w:val="0"/>
                <w:color w:val="605F5F"/>
                <w:spacing w:val="0"/>
                <w:sz w:val="21"/>
                <w:szCs w:val="21"/>
                <w:bdr w:val="none" w:color="auto" w:sz="0" w:space="0"/>
              </w:rPr>
              <w:br w:type="textWrapping"/>
            </w:r>
            <w:r>
              <w:rPr>
                <w:rFonts w:hint="eastAsia" w:ascii="宋体" w:hAnsi="宋体" w:eastAsia="宋体" w:cs="宋体"/>
                <w:b w:val="0"/>
                <w:i w:val="0"/>
                <w:caps w:val="0"/>
                <w:color w:val="605F5F"/>
                <w:spacing w:val="0"/>
                <w:sz w:val="21"/>
                <w:szCs w:val="21"/>
                <w:bdr w:val="none" w:color="auto" w:sz="0" w:space="0"/>
              </w:rPr>
              <w:t> 3、工作期间医院补助1000元/月；工作前2年，市委市政府另外再补助2000元/月；</w:t>
            </w:r>
            <w:r>
              <w:rPr>
                <w:rFonts w:hint="eastAsia" w:ascii="宋体" w:hAnsi="宋体" w:eastAsia="宋体" w:cs="宋体"/>
                <w:b w:val="0"/>
                <w:i w:val="0"/>
                <w:caps w:val="0"/>
                <w:color w:val="605F5F"/>
                <w:spacing w:val="0"/>
                <w:sz w:val="21"/>
                <w:szCs w:val="21"/>
                <w:bdr w:val="none" w:color="auto" w:sz="0" w:space="0"/>
              </w:rPr>
              <w:br w:type="textWrapping"/>
            </w:r>
            <w:r>
              <w:rPr>
                <w:rFonts w:hint="eastAsia" w:ascii="宋体" w:hAnsi="宋体" w:eastAsia="宋体" w:cs="宋体"/>
                <w:b w:val="0"/>
                <w:i w:val="0"/>
                <w:caps w:val="0"/>
                <w:color w:val="605F5F"/>
                <w:spacing w:val="0"/>
                <w:sz w:val="21"/>
                <w:szCs w:val="21"/>
                <w:bdr w:val="none" w:color="auto" w:sz="0" w:space="0"/>
              </w:rPr>
              <w:t> 4、特殊情况面议。</w:t>
            </w: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1000"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呼吸内科</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呼吸病学</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2</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第一学历为二本及以上全日制本科</w:t>
            </w: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高血压科</w:t>
            </w:r>
          </w:p>
        </w:tc>
        <w:tc>
          <w:tcPr>
            <w:tcW w:w="1683"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心血管内科学</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2</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1683"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运动医学（内科方向）</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1</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1132" w:hRule="atLeast"/>
          <w:tblCellSpacing w:w="0" w:type="dxa"/>
        </w:trPr>
        <w:tc>
          <w:tcPr>
            <w:tcW w:w="1188"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1683"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心脏运动康复</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1</w:t>
            </w:r>
          </w:p>
        </w:tc>
        <w:tc>
          <w:tcPr>
            <w:tcW w:w="168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全日制三年制大专及以上</w:t>
            </w: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放疗科</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放射治疗</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2</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第一学历为二本及以上全日制本科</w:t>
            </w: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79"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肝病科</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感染病学，消化病学，肿瘤学</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3</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79"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神经内科</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神经介入或神经重症</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1</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脊柱外科</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脊柱微创</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1</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麻醉科</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麻醉</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2</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重症医学科</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心内、呼吸内、神经内、重症医学</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2</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1132" w:hRule="atLeast"/>
          <w:tblCellSpacing w:w="0" w:type="dxa"/>
        </w:trPr>
        <w:tc>
          <w:tcPr>
            <w:tcW w:w="1188"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疼痛科</w:t>
            </w:r>
          </w:p>
        </w:tc>
        <w:tc>
          <w:tcPr>
            <w:tcW w:w="1683"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疼痛，神内，骨科，风湿免疫，肿瘤内科等专业</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2</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1132" w:hRule="atLeast"/>
          <w:tblCellSpacing w:w="0" w:type="dxa"/>
        </w:trPr>
        <w:tc>
          <w:tcPr>
            <w:tcW w:w="1188"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1683"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针灸推拿</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1</w:t>
            </w: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二本及以上全日制本科（不含专升本）</w:t>
            </w: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康复科</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康复治疗学（西医）</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2</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第一学历为二本及以上全日制本科</w:t>
            </w: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妇科</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妇科</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1</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1132"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生殖遗传中心</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生殖遗传、检验</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1</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产科</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妇产科</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3</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1132" w:hRule="atLeast"/>
          <w:tblCellSpacing w:w="0" w:type="dxa"/>
        </w:trPr>
        <w:tc>
          <w:tcPr>
            <w:tcW w:w="1188" w:type="dxa"/>
            <w:tcBorders>
              <w:top w:val="nil"/>
              <w:left w:val="single" w:color="000000" w:sz="6" w:space="0"/>
              <w:bottom w:val="nil"/>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儿科</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儿科（消化、呼吸、神经、血液、心血管）</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5</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第一学历为二本及以上全日制本科</w:t>
            </w: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耳鼻喉科</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耳鼻喉</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2</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1132"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口腔颌面病房</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口腔外科、口腔种植、口腔矫形</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2</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1132"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门诊口腔科</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牙周专业（临床型）、正畸专业（临床型）</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1</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皮肤科</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皮肤病理学、皮肤免疫学</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1</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急救中心</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急诊、心内、呼吸、危重症</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3</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1132"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健康管理中心</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临床医学</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1</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介入科</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介入、医学影像学或临床医学</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3</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核医学科</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核医学或临床医学专业</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1</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输血科</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检验，临床医学</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2</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高压氧</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临床医学</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1</w:t>
            </w: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二本及以上全日制本科（不含专升本）</w:t>
            </w: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心电图</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临床医学</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1</w:t>
            </w: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一分院</w:t>
            </w:r>
          </w:p>
        </w:tc>
        <w:tc>
          <w:tcPr>
            <w:tcW w:w="1683"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临床医学</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7</w:t>
            </w: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720" w:hRule="atLeast"/>
          <w:tblCellSpacing w:w="0" w:type="dxa"/>
        </w:trPr>
        <w:tc>
          <w:tcPr>
            <w:tcW w:w="1188"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1683"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公共卫生或预防医学</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1</w:t>
            </w: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1132" w:hRule="atLeast"/>
          <w:tblCellSpacing w:w="0" w:type="dxa"/>
        </w:trPr>
        <w:tc>
          <w:tcPr>
            <w:tcW w:w="1188"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西城分院</w:t>
            </w:r>
          </w:p>
        </w:tc>
        <w:tc>
          <w:tcPr>
            <w:tcW w:w="1683"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精神医学</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3</w:t>
            </w: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第一学历为二本及以上全日制本科　</w:t>
            </w:r>
          </w:p>
        </w:tc>
        <w:tc>
          <w:tcPr>
            <w:tcW w:w="99" w:type="dxa"/>
            <w:tcBorders>
              <w:top w:val="nil"/>
              <w:left w:val="nil"/>
              <w:bottom w:val="nil"/>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1132" w:hRule="atLeast"/>
          <w:tblCellSpacing w:w="0" w:type="dxa"/>
        </w:trPr>
        <w:tc>
          <w:tcPr>
            <w:tcW w:w="1188"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1683" w:type="dxa"/>
            <w:vMerge w:val="restart"/>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择业期内毕业生</w:t>
            </w: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精神医学</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6</w:t>
            </w: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682" w:type="dxa"/>
            <w:tcBorders>
              <w:top w:val="nil"/>
              <w:left w:val="nil"/>
              <w:bottom w:val="nil"/>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二本及以上全日制本科（不含专升本）</w:t>
            </w:r>
          </w:p>
        </w:tc>
        <w:tc>
          <w:tcPr>
            <w:tcW w:w="99" w:type="dxa"/>
            <w:tcBorders>
              <w:top w:val="nil"/>
              <w:left w:val="nil"/>
              <w:bottom w:val="single" w:color="000000" w:sz="6" w:space="0"/>
              <w:right w:val="nil"/>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r>
      <w:tr>
        <w:tblPrEx>
          <w:tblLayout w:type="fixed"/>
          <w:tblCellMar>
            <w:top w:w="0" w:type="dxa"/>
            <w:left w:w="0" w:type="dxa"/>
            <w:bottom w:w="0" w:type="dxa"/>
            <w:right w:w="0" w:type="dxa"/>
          </w:tblCellMar>
        </w:tblPrEx>
        <w:trPr>
          <w:trHeight w:val="1146" w:hRule="atLeast"/>
          <w:tblCellSpacing w:w="0" w:type="dxa"/>
        </w:trPr>
        <w:tc>
          <w:tcPr>
            <w:tcW w:w="1188"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1683" w:type="dxa"/>
            <w:vMerge w:val="continue"/>
            <w:tcBorders>
              <w:top w:val="nil"/>
              <w:left w:val="nil"/>
              <w:bottom w:val="single" w:color="000000" w:sz="6" w:space="0"/>
              <w:right w:val="single" w:color="000000" w:sz="6" w:space="0"/>
            </w:tcBorders>
            <w:shd w:val="clear" w:color="auto" w:fill="FFFFFF"/>
            <w:tcMar>
              <w:left w:w="105" w:type="dxa"/>
              <w:right w:w="105" w:type="dxa"/>
            </w:tcMar>
            <w:vAlign w:val="center"/>
          </w:tcPr>
          <w:p>
            <w:pPr>
              <w:rPr>
                <w:rFonts w:hint="eastAsia" w:ascii="宋体" w:hAnsi="宋体" w:eastAsia="宋体" w:cs="宋体"/>
                <w:b w:val="0"/>
                <w:i w:val="0"/>
                <w:caps w:val="0"/>
                <w:color w:val="605F5F"/>
                <w:spacing w:val="0"/>
                <w:sz w:val="18"/>
                <w:szCs w:val="18"/>
              </w:rPr>
            </w:pPr>
          </w:p>
        </w:tc>
        <w:tc>
          <w:tcPr>
            <w:tcW w:w="3168"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临床医学</w:t>
            </w:r>
          </w:p>
        </w:tc>
        <w:tc>
          <w:tcPr>
            <w:tcW w:w="79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4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5</w:t>
            </w:r>
          </w:p>
        </w:tc>
        <w:tc>
          <w:tcPr>
            <w:tcW w:w="594"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p>
        </w:tc>
        <w:tc>
          <w:tcPr>
            <w:tcW w:w="1781" w:type="dxa"/>
            <w:gridSpan w:val="2"/>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20" w:lineRule="atLeast"/>
              <w:ind w:left="0" w:right="0"/>
              <w:rPr>
                <w:sz w:val="21"/>
                <w:szCs w:val="21"/>
              </w:rPr>
            </w:pPr>
            <w:r>
              <w:rPr>
                <w:rFonts w:hint="eastAsia" w:ascii="宋体" w:hAnsi="宋体" w:eastAsia="宋体" w:cs="宋体"/>
                <w:b w:val="0"/>
                <w:i w:val="0"/>
                <w:caps w:val="0"/>
                <w:color w:val="605F5F"/>
                <w:spacing w:val="0"/>
                <w:sz w:val="21"/>
                <w:szCs w:val="21"/>
                <w:bdr w:val="none" w:color="auto" w:sz="0" w:space="0"/>
              </w:rPr>
              <w:t>二本及以上全日制本科（不含专升本</w:t>
            </w: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EE36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2017-06-30T02:06:28Z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