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605F5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05F5F"/>
          <w:spacing w:val="0"/>
          <w:sz w:val="21"/>
          <w:szCs w:val="21"/>
          <w:bdr w:val="none" w:color="auto" w:sz="0" w:space="0"/>
          <w:shd w:val="clear" w:fill="FFFFFF"/>
        </w:rPr>
        <w:t>（三）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605F5F"/>
          <w:spacing w:val="0"/>
          <w:sz w:val="21"/>
          <w:szCs w:val="21"/>
          <w:bdr w:val="none" w:color="auto" w:sz="0" w:space="0"/>
          <w:shd w:val="clear" w:fill="FFFFFF"/>
        </w:rPr>
        <w:t>药学、医技人员</w:t>
      </w:r>
      <w:bookmarkEnd w:id="0"/>
    </w:p>
    <w:tbl>
      <w:tblPr>
        <w:tblW w:w="9800" w:type="dxa"/>
        <w:tblCellSpacing w:w="0" w:type="dxa"/>
        <w:tblInd w:w="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495"/>
        <w:gridCol w:w="2390"/>
        <w:gridCol w:w="500"/>
        <w:gridCol w:w="499"/>
        <w:gridCol w:w="437"/>
        <w:gridCol w:w="797"/>
        <w:gridCol w:w="238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tblCellSpacing w:w="0" w:type="dxa"/>
        </w:trPr>
        <w:tc>
          <w:tcPr>
            <w:tcW w:w="12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科室</w:t>
            </w:r>
          </w:p>
        </w:tc>
        <w:tc>
          <w:tcPr>
            <w:tcW w:w="149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人员类别</w:t>
            </w:r>
          </w:p>
        </w:tc>
        <w:tc>
          <w:tcPr>
            <w:tcW w:w="23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专业及方向</w:t>
            </w:r>
          </w:p>
        </w:tc>
        <w:tc>
          <w:tcPr>
            <w:tcW w:w="223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申请计划数</w:t>
            </w:r>
          </w:p>
        </w:tc>
        <w:tc>
          <w:tcPr>
            <w:tcW w:w="238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tblCellSpacing w:w="0" w:type="dxa"/>
        </w:trPr>
        <w:tc>
          <w:tcPr>
            <w:tcW w:w="1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3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238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  <w:tblCellSpacing w:w="0" w:type="dxa"/>
        </w:trPr>
        <w:tc>
          <w:tcPr>
            <w:tcW w:w="12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药学部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择业期内毕业生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药物代谢动力学，药理学、临床药理学、中药药理学等相关药物代谢动力学专业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211或985院校毕业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0" w:type="dxa"/>
        </w:trPr>
        <w:tc>
          <w:tcPr>
            <w:tcW w:w="12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4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临床药学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23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tblCellSpacing w:w="0" w:type="dxa"/>
        </w:trPr>
        <w:tc>
          <w:tcPr>
            <w:tcW w:w="12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影像科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择业期内毕业生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医学影像学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第一学历为二本及以上全日制本科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tblCellSpacing w:w="0" w:type="dxa"/>
        </w:trPr>
        <w:tc>
          <w:tcPr>
            <w:tcW w:w="12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4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医学影像学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二本及以上全日制本科（不含专升本）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tblCellSpacing w:w="0" w:type="dxa"/>
        </w:trPr>
        <w:tc>
          <w:tcPr>
            <w:tcW w:w="12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核磁共振室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择业期内毕业生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医学影像学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第一学历为二本及以上全日制本科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0" w:type="dxa"/>
        </w:trPr>
        <w:tc>
          <w:tcPr>
            <w:tcW w:w="12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超声诊断科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择业期内毕业生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超声诊断或医学影像学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23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tblCellSpacing w:w="0" w:type="dxa"/>
        </w:trPr>
        <w:tc>
          <w:tcPr>
            <w:tcW w:w="12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4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超声诊断或医学影像学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二本及以上全日制本科（不含专升本）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tblCellSpacing w:w="0" w:type="dxa"/>
        </w:trPr>
        <w:tc>
          <w:tcPr>
            <w:tcW w:w="12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检验科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2017届毕业生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临床检验诊断学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第一学历为二本及以上院校，应届毕业生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tblCellSpacing w:w="0" w:type="dxa"/>
        </w:trPr>
        <w:tc>
          <w:tcPr>
            <w:tcW w:w="12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一分院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择业期内毕业生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医学影像学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二本及以上全日制本科（不含专升本）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tblCellSpacing w:w="0" w:type="dxa"/>
        </w:trPr>
        <w:tc>
          <w:tcPr>
            <w:tcW w:w="12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西城分院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择业期内毕业生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医学影像学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23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76304"/>
    <w:rsid w:val="6CEE36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2017-06-30T02:07:10Z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