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</w:pPr>
      <w:r>
        <w:t>岗位要求</w:t>
      </w:r>
    </w:p>
    <w:tbl>
      <w:tblPr>
        <w:tblW w:w="833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"/>
        <w:gridCol w:w="862"/>
        <w:gridCol w:w="1610"/>
        <w:gridCol w:w="2640"/>
        <w:gridCol w:w="23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1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23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儿保科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1人</w:t>
            </w:r>
          </w:p>
        </w:tc>
        <w:tc>
          <w:tcPr>
            <w:tcW w:w="1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全日制大专及以上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预防医学、中医、中西医结合</w:t>
            </w:r>
          </w:p>
        </w:tc>
        <w:tc>
          <w:tcPr>
            <w:tcW w:w="23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具有医师执业资格证书优先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6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3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2017-07-27T06:55:10Z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