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90" w:type="dxa"/>
        <w:jc w:val="center"/>
        <w:tblCellSpacing w:w="0" w:type="dxa"/>
        <w:tblInd w:w="2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jc w:val="center"/>
              <w:rPr>
                <w:b/>
                <w:color w:val="F1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F10000"/>
                <w:kern w:val="0"/>
                <w:sz w:val="20"/>
                <w:szCs w:val="20"/>
                <w:lang w:val="en-US" w:eastAsia="zh-CN" w:bidi="ar"/>
              </w:rPr>
              <w:t>2017年丽水市军队转业干部安置笔试成绩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0" w:type="dxa"/>
          <w:jc w:val="center"/>
        </w:trPr>
        <w:tc>
          <w:tcPr>
            <w:tcW w:w="7890" w:type="dxa"/>
            <w:shd w:val="clear" w:color="auto" w:fill="CCCCCC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cs="Arial"/>
                <w:color w:val="666666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tbl>
            <w:tblPr>
              <w:tblW w:w="8305" w:type="dxa"/>
              <w:jc w:val="center"/>
              <w:tblInd w:w="-9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4"/>
              <w:gridCol w:w="3337"/>
              <w:gridCol w:w="398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98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33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考号</w:t>
                  </w:r>
                </w:p>
              </w:tc>
              <w:tc>
                <w:tcPr>
                  <w:tcW w:w="398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总分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01100010101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65.5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01100010102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01100010103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01100010104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50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01100010105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75.5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01100010106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58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01100010107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01100010108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01100010109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01100010110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01100010111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67.5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01100010112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60.5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01100010113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01100010114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01100010115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01100010116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01100010117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01100010118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62.5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01100010119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01100010120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61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01100010121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71.5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01100010122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58.5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33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01100010123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58.5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40" w:lineRule="atLeast"/>
              <w:ind w:left="0" w:right="0" w:firstLine="600"/>
              <w:jc w:val="right"/>
            </w:pPr>
            <w:r>
              <w:rPr>
                <w:rFonts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丽水市军转办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40" w:lineRule="atLeast"/>
              <w:ind w:left="0" w:right="0" w:firstLine="600"/>
              <w:jc w:val="righ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2017年9月15日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38F2"/>
    <w:rsid w:val="52B03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2017-09-15T10:34:00Z</dcterms:created>
  <dc:creator>ASUS</dc:creator>
  <cp:lastModifiedBy>ASUS</cp:lastModifiedBy>
  <dcterms:modified xsi:type="dcterms:W3CDTF">2017-09-15T10:34:10Z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