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eastAsia="方正大标宋简体"/>
          <w:color w:val="000000"/>
          <w:sz w:val="44"/>
          <w:szCs w:val="44"/>
        </w:rPr>
      </w:pPr>
      <w:r>
        <w:rPr>
          <w:rFonts w:hint="eastAsia" w:ascii="方正大标宋简体" w:eastAsia="方正大标宋简体"/>
          <w:color w:val="000000"/>
          <w:sz w:val="44"/>
          <w:szCs w:val="44"/>
        </w:rPr>
        <w:t>邵阳市住房公积金管理中心</w:t>
      </w:r>
    </w:p>
    <w:p>
      <w:pPr>
        <w:spacing w:line="560" w:lineRule="exact"/>
        <w:jc w:val="center"/>
        <w:rPr>
          <w:rFonts w:ascii="方正大标宋简体" w:eastAsia="方正大标宋简体"/>
          <w:color w:val="000000"/>
          <w:sz w:val="44"/>
          <w:szCs w:val="44"/>
        </w:rPr>
      </w:pPr>
      <w:r>
        <w:rPr>
          <w:rFonts w:hint="eastAsia" w:ascii="方正大标宋简体" w:eastAsia="方正大标宋简体"/>
          <w:color w:val="000000"/>
          <w:sz w:val="44"/>
          <w:szCs w:val="44"/>
        </w:rPr>
        <w:t>公开招聘工作人员公告</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邵阳市住房公积金管理中心（以下简称“中心”）是直属市人民政府的事业单位，负责全市住房公积金的</w:t>
      </w:r>
      <w:r>
        <w:rPr>
          <w:rFonts w:hint="eastAsia" w:ascii="仿宋_GB2312" w:eastAsia="仿宋_GB2312"/>
          <w:color w:val="000000"/>
          <w:sz w:val="32"/>
          <w:szCs w:val="32"/>
          <w:lang w:eastAsia="zh-CN"/>
        </w:rPr>
        <w:t>归集、管理和使用</w:t>
      </w:r>
      <w:r>
        <w:rPr>
          <w:rFonts w:hint="eastAsia" w:eastAsia="仿宋_GB2312"/>
          <w:color w:val="000000"/>
          <w:sz w:val="32"/>
          <w:szCs w:val="32"/>
        </w:rPr>
        <w:t>，下辖</w:t>
      </w:r>
      <w:r>
        <w:rPr>
          <w:rFonts w:eastAsia="仿宋_GB2312"/>
          <w:color w:val="000000"/>
          <w:sz w:val="32"/>
          <w:szCs w:val="32"/>
        </w:rPr>
        <w:t>10</w:t>
      </w:r>
      <w:r>
        <w:rPr>
          <w:rFonts w:hint="eastAsia" w:eastAsia="仿宋_GB2312"/>
          <w:color w:val="000000"/>
          <w:sz w:val="32"/>
          <w:szCs w:val="32"/>
        </w:rPr>
        <w:t>个县（市）区管理部。为优化人才队伍，补充短缺人才，提高人员素质，推动事业发展，经</w:t>
      </w:r>
      <w:r>
        <w:rPr>
          <w:rFonts w:hint="eastAsia" w:eastAsia="仿宋_GB2312"/>
          <w:color w:val="000000"/>
          <w:sz w:val="32"/>
          <w:szCs w:val="32"/>
          <w:lang w:eastAsia="zh-CN"/>
        </w:rPr>
        <w:t>有关部门</w:t>
      </w:r>
      <w:r>
        <w:rPr>
          <w:rFonts w:hint="eastAsia" w:eastAsia="仿宋_GB2312"/>
          <w:color w:val="000000"/>
          <w:sz w:val="32"/>
          <w:szCs w:val="32"/>
        </w:rPr>
        <w:t>同意，拟面向社会公开招聘计算机、文秘、财会等急需岗位合同制人才</w:t>
      </w:r>
      <w:r>
        <w:rPr>
          <w:rFonts w:eastAsia="仿宋_GB2312"/>
          <w:color w:val="000000"/>
          <w:sz w:val="32"/>
          <w:szCs w:val="32"/>
        </w:rPr>
        <w:t>10</w:t>
      </w:r>
      <w:r>
        <w:rPr>
          <w:rFonts w:hint="eastAsia" w:eastAsia="仿宋_GB2312"/>
          <w:color w:val="000000"/>
          <w:sz w:val="32"/>
          <w:szCs w:val="32"/>
        </w:rPr>
        <w:t>名。现将有关事项公告如下：</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eastAsia="zh-CN"/>
        </w:rPr>
        <w:t>一</w:t>
      </w:r>
      <w:r>
        <w:rPr>
          <w:rFonts w:hint="eastAsia" w:ascii="黑体" w:hAnsi="黑体" w:eastAsia="黑体"/>
          <w:color w:val="000000"/>
          <w:sz w:val="32"/>
          <w:szCs w:val="32"/>
        </w:rPr>
        <w:t>、招聘计划及职位要求</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50"/>
        <w:gridCol w:w="1985"/>
        <w:gridCol w:w="1559"/>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668" w:type="dxa"/>
            <w:vAlign w:val="top"/>
          </w:tcPr>
          <w:p>
            <w:pPr>
              <w:spacing w:line="400" w:lineRule="exact"/>
              <w:jc w:val="center"/>
              <w:rPr>
                <w:rFonts w:ascii="黑体" w:hAnsi="黑体" w:eastAsia="黑体"/>
                <w:color w:val="000000"/>
                <w:sz w:val="30"/>
                <w:szCs w:val="30"/>
              </w:rPr>
            </w:pPr>
            <w:r>
              <w:rPr>
                <w:rFonts w:hint="eastAsia" w:ascii="黑体" w:hAnsi="黑体" w:eastAsia="黑体"/>
                <w:color w:val="000000"/>
                <w:sz w:val="30"/>
                <w:szCs w:val="30"/>
              </w:rPr>
              <w:t>招聘职位</w:t>
            </w:r>
          </w:p>
        </w:tc>
        <w:tc>
          <w:tcPr>
            <w:tcW w:w="850" w:type="dxa"/>
            <w:vAlign w:val="top"/>
          </w:tcPr>
          <w:p>
            <w:pPr>
              <w:spacing w:line="400" w:lineRule="exact"/>
              <w:jc w:val="center"/>
              <w:rPr>
                <w:rFonts w:ascii="黑体" w:hAnsi="黑体" w:eastAsia="黑体"/>
                <w:color w:val="000000"/>
                <w:sz w:val="30"/>
                <w:szCs w:val="30"/>
              </w:rPr>
            </w:pPr>
            <w:r>
              <w:rPr>
                <w:rFonts w:hint="eastAsia" w:ascii="黑体" w:hAnsi="黑体" w:eastAsia="黑体"/>
                <w:color w:val="000000"/>
                <w:sz w:val="30"/>
                <w:szCs w:val="30"/>
              </w:rPr>
              <w:t>数量</w:t>
            </w:r>
          </w:p>
        </w:tc>
        <w:tc>
          <w:tcPr>
            <w:tcW w:w="1985" w:type="dxa"/>
            <w:vAlign w:val="top"/>
          </w:tcPr>
          <w:p>
            <w:pPr>
              <w:spacing w:line="400" w:lineRule="exact"/>
              <w:jc w:val="center"/>
              <w:rPr>
                <w:rFonts w:ascii="黑体" w:hAnsi="黑体" w:eastAsia="黑体"/>
                <w:color w:val="000000"/>
                <w:sz w:val="30"/>
                <w:szCs w:val="30"/>
              </w:rPr>
            </w:pPr>
            <w:r>
              <w:rPr>
                <w:rFonts w:hint="eastAsia" w:ascii="黑体" w:hAnsi="黑体" w:eastAsia="黑体"/>
                <w:color w:val="000000"/>
                <w:sz w:val="30"/>
                <w:szCs w:val="30"/>
              </w:rPr>
              <w:t>专业要求</w:t>
            </w:r>
          </w:p>
        </w:tc>
        <w:tc>
          <w:tcPr>
            <w:tcW w:w="1559" w:type="dxa"/>
            <w:vAlign w:val="top"/>
          </w:tcPr>
          <w:p>
            <w:pPr>
              <w:spacing w:line="400" w:lineRule="exact"/>
              <w:jc w:val="center"/>
              <w:rPr>
                <w:rFonts w:ascii="黑体" w:hAnsi="黑体" w:eastAsia="黑体"/>
                <w:color w:val="000000"/>
                <w:sz w:val="30"/>
                <w:szCs w:val="30"/>
              </w:rPr>
            </w:pPr>
            <w:r>
              <w:rPr>
                <w:rFonts w:hint="eastAsia" w:ascii="黑体" w:hAnsi="黑体" w:eastAsia="黑体"/>
                <w:color w:val="000000"/>
                <w:sz w:val="30"/>
                <w:szCs w:val="30"/>
              </w:rPr>
              <w:t>年龄要求</w:t>
            </w:r>
          </w:p>
        </w:tc>
        <w:tc>
          <w:tcPr>
            <w:tcW w:w="1417" w:type="dxa"/>
            <w:vAlign w:val="top"/>
          </w:tcPr>
          <w:p>
            <w:pPr>
              <w:spacing w:line="400" w:lineRule="exact"/>
              <w:jc w:val="center"/>
              <w:rPr>
                <w:rFonts w:ascii="黑体" w:hAnsi="黑体" w:eastAsia="黑体"/>
                <w:color w:val="000000"/>
                <w:sz w:val="30"/>
                <w:szCs w:val="30"/>
              </w:rPr>
            </w:pPr>
            <w:r>
              <w:rPr>
                <w:rFonts w:hint="eastAsia" w:ascii="黑体" w:hAnsi="黑体" w:eastAsia="黑体"/>
                <w:color w:val="000000"/>
                <w:sz w:val="30"/>
                <w:szCs w:val="30"/>
              </w:rPr>
              <w:t>学历要求</w:t>
            </w:r>
          </w:p>
        </w:tc>
        <w:tc>
          <w:tcPr>
            <w:tcW w:w="1701" w:type="dxa"/>
            <w:vAlign w:val="top"/>
          </w:tcPr>
          <w:p>
            <w:pPr>
              <w:spacing w:line="400" w:lineRule="exact"/>
              <w:jc w:val="center"/>
              <w:rPr>
                <w:rFonts w:ascii="黑体" w:hAnsi="黑体" w:eastAsia="黑体"/>
                <w:color w:val="000000"/>
                <w:sz w:val="30"/>
                <w:szCs w:val="30"/>
              </w:rPr>
            </w:pPr>
            <w:r>
              <w:rPr>
                <w:rFonts w:hint="eastAsia" w:ascii="黑体" w:hAnsi="黑体" w:eastAsia="黑体"/>
                <w:color w:val="000000"/>
                <w:sz w:val="30"/>
                <w:szCs w:val="30"/>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数据库管理</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岗位</w:t>
            </w:r>
          </w:p>
        </w:tc>
        <w:tc>
          <w:tcPr>
            <w:tcW w:w="850" w:type="dxa"/>
            <w:vAlign w:val="center"/>
          </w:tcPr>
          <w:p>
            <w:pPr>
              <w:spacing w:line="40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400" w:lineRule="exact"/>
              <w:jc w:val="center"/>
              <w:rPr>
                <w:rFonts w:eastAsia="仿宋_GB2312"/>
                <w:color w:val="000000"/>
                <w:sz w:val="24"/>
              </w:rPr>
            </w:pPr>
            <w:r>
              <w:rPr>
                <w:rFonts w:hint="eastAsia" w:eastAsia="仿宋_GB2312"/>
                <w:color w:val="000000"/>
                <w:sz w:val="24"/>
              </w:rPr>
              <w:t>计算机数据库</w:t>
            </w:r>
            <w:r>
              <w:rPr>
                <w:rFonts w:eastAsia="仿宋_GB2312"/>
                <w:color w:val="000000"/>
                <w:sz w:val="24"/>
              </w:rPr>
              <w:t xml:space="preserve">  </w:t>
            </w:r>
            <w:r>
              <w:rPr>
                <w:rFonts w:hint="eastAsia" w:eastAsia="仿宋_GB2312"/>
                <w:color w:val="000000"/>
                <w:sz w:val="24"/>
              </w:rPr>
              <w:t>或软件类</w:t>
            </w:r>
          </w:p>
        </w:tc>
        <w:tc>
          <w:tcPr>
            <w:tcW w:w="1559" w:type="dxa"/>
            <w:vAlign w:val="center"/>
          </w:tcPr>
          <w:p>
            <w:pPr>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jc w:val="center"/>
              <w:rPr>
                <w:rFonts w:eastAsia="仿宋_GB2312"/>
                <w:color w:val="000000"/>
                <w:sz w:val="24"/>
              </w:rPr>
            </w:pPr>
            <w:r>
              <w:rPr>
                <w:rFonts w:hint="eastAsia" w:eastAsia="仿宋_GB2312"/>
                <w:color w:val="000000"/>
                <w:sz w:val="24"/>
              </w:rPr>
              <w:t>全日制本科学历</w:t>
            </w:r>
          </w:p>
        </w:tc>
        <w:tc>
          <w:tcPr>
            <w:tcW w:w="1701" w:type="dxa"/>
            <w:vAlign w:val="center"/>
          </w:tcPr>
          <w:p>
            <w:pPr>
              <w:rPr>
                <w:rFonts w:eastAsia="仿宋_GB2312"/>
                <w:color w:val="000000"/>
                <w:szCs w:val="21"/>
              </w:rPr>
            </w:pPr>
            <w:r>
              <w:rPr>
                <w:rFonts w:hint="eastAsia" w:eastAsia="仿宋_GB2312"/>
                <w:color w:val="000000"/>
                <w:szCs w:val="21"/>
              </w:rPr>
              <w:t>具备国家软考中级数据库工程师证书，或</w:t>
            </w:r>
            <w:r>
              <w:rPr>
                <w:rFonts w:eastAsia="仿宋_GB2312"/>
                <w:color w:val="000000"/>
                <w:szCs w:val="21"/>
              </w:rPr>
              <w:t>oracle  OCA</w:t>
            </w:r>
            <w:r>
              <w:rPr>
                <w:rFonts w:hint="eastAsia" w:eastAsia="仿宋_GB2312"/>
                <w:color w:val="000000"/>
                <w:szCs w:val="21"/>
              </w:rPr>
              <w:t>、</w:t>
            </w:r>
            <w:r>
              <w:rPr>
                <w:rFonts w:eastAsia="仿宋_GB2312"/>
                <w:color w:val="000000"/>
                <w:szCs w:val="21"/>
              </w:rPr>
              <w:t>OCP</w:t>
            </w:r>
            <w:r>
              <w:rPr>
                <w:rFonts w:hint="eastAsia" w:eastAsia="仿宋_GB2312"/>
                <w:color w:val="000000"/>
                <w:szCs w:val="21"/>
              </w:rPr>
              <w:t>、</w:t>
            </w:r>
            <w:r>
              <w:rPr>
                <w:rFonts w:eastAsia="仿宋_GB2312"/>
                <w:color w:val="000000"/>
                <w:szCs w:val="21"/>
              </w:rPr>
              <w:t>OCM</w:t>
            </w:r>
            <w:r>
              <w:rPr>
                <w:rFonts w:hint="eastAsia" w:eastAsia="仿宋_GB2312"/>
                <w:color w:val="000000"/>
                <w:szCs w:val="21"/>
              </w:rPr>
              <w:t>证书之一；男性。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668" w:type="dxa"/>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信息安全</w:t>
            </w:r>
            <w:r>
              <w:rPr>
                <w:rFonts w:ascii="仿宋_GB2312" w:eastAsia="仿宋_GB2312"/>
                <w:color w:val="000000"/>
                <w:sz w:val="28"/>
                <w:szCs w:val="28"/>
              </w:rPr>
              <w:t xml:space="preserve"> </w:t>
            </w:r>
            <w:r>
              <w:rPr>
                <w:rFonts w:hint="eastAsia" w:ascii="仿宋_GB2312" w:eastAsia="仿宋_GB2312"/>
                <w:color w:val="000000"/>
                <w:sz w:val="28"/>
                <w:szCs w:val="28"/>
              </w:rPr>
              <w:t>管理岗位</w:t>
            </w:r>
          </w:p>
        </w:tc>
        <w:tc>
          <w:tcPr>
            <w:tcW w:w="850" w:type="dxa"/>
            <w:vAlign w:val="center"/>
          </w:tcPr>
          <w:p>
            <w:pPr>
              <w:spacing w:line="40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400" w:lineRule="exact"/>
              <w:jc w:val="center"/>
              <w:rPr>
                <w:rFonts w:eastAsia="仿宋_GB2312"/>
                <w:color w:val="000000"/>
                <w:sz w:val="24"/>
              </w:rPr>
            </w:pPr>
            <w:r>
              <w:rPr>
                <w:rFonts w:hint="eastAsia" w:eastAsia="仿宋_GB2312"/>
                <w:color w:val="000000"/>
                <w:sz w:val="24"/>
              </w:rPr>
              <w:t>计算机信息安全类</w:t>
            </w:r>
          </w:p>
        </w:tc>
        <w:tc>
          <w:tcPr>
            <w:tcW w:w="1559" w:type="dxa"/>
            <w:vAlign w:val="center"/>
          </w:tcPr>
          <w:p>
            <w:pPr>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jc w:val="center"/>
              <w:rPr>
                <w:rFonts w:eastAsia="仿宋_GB2312"/>
                <w:color w:val="000000"/>
                <w:sz w:val="24"/>
              </w:rPr>
            </w:pPr>
            <w:r>
              <w:rPr>
                <w:rFonts w:hint="eastAsia" w:eastAsia="仿宋_GB2312"/>
                <w:color w:val="000000"/>
                <w:sz w:val="24"/>
              </w:rPr>
              <w:t>全日制本科学历</w:t>
            </w:r>
          </w:p>
        </w:tc>
        <w:tc>
          <w:tcPr>
            <w:tcW w:w="1701" w:type="dxa"/>
            <w:vAlign w:val="center"/>
          </w:tcPr>
          <w:p>
            <w:pPr>
              <w:jc w:val="center"/>
              <w:rPr>
                <w:rFonts w:eastAsia="仿宋_GB2312"/>
                <w:color w:val="000000"/>
                <w:sz w:val="32"/>
                <w:szCs w:val="32"/>
              </w:rPr>
            </w:pPr>
            <w:r>
              <w:rPr>
                <w:rFonts w:hint="eastAsia" w:eastAsia="仿宋_GB2312"/>
                <w:color w:val="000000"/>
                <w:szCs w:val="21"/>
              </w:rPr>
              <w:t>具备国家信息安全</w:t>
            </w:r>
            <w:r>
              <w:rPr>
                <w:rFonts w:eastAsia="仿宋_GB2312"/>
                <w:color w:val="000000"/>
                <w:szCs w:val="21"/>
              </w:rPr>
              <w:t xml:space="preserve"> CISSP</w:t>
            </w:r>
            <w:r>
              <w:rPr>
                <w:rFonts w:hint="eastAsia" w:eastAsia="仿宋_GB2312"/>
                <w:color w:val="000000"/>
                <w:szCs w:val="21"/>
              </w:rPr>
              <w:t>、</w:t>
            </w:r>
            <w:r>
              <w:rPr>
                <w:rFonts w:eastAsia="仿宋_GB2312"/>
                <w:color w:val="000000"/>
                <w:szCs w:val="21"/>
              </w:rPr>
              <w:t xml:space="preserve">CISAW </w:t>
            </w:r>
            <w:r>
              <w:rPr>
                <w:rFonts w:hint="eastAsia" w:eastAsia="仿宋_GB2312"/>
                <w:color w:val="000000"/>
                <w:szCs w:val="21"/>
              </w:rPr>
              <w:t>、</w:t>
            </w:r>
            <w:r>
              <w:rPr>
                <w:rFonts w:eastAsia="仿宋_GB2312"/>
                <w:color w:val="000000"/>
                <w:szCs w:val="21"/>
              </w:rPr>
              <w:t>CISP</w:t>
            </w:r>
            <w:r>
              <w:rPr>
                <w:rFonts w:hint="eastAsia" w:eastAsia="仿宋_GB2312"/>
                <w:color w:val="000000"/>
                <w:szCs w:val="21"/>
              </w:rPr>
              <w:t>、</w:t>
            </w:r>
            <w:r>
              <w:rPr>
                <w:rFonts w:eastAsia="仿宋_GB2312"/>
                <w:color w:val="000000"/>
                <w:szCs w:val="21"/>
              </w:rPr>
              <w:t xml:space="preserve">Security+ </w:t>
            </w:r>
            <w:r>
              <w:rPr>
                <w:rFonts w:hint="eastAsia" w:eastAsia="仿宋_GB2312"/>
                <w:color w:val="000000"/>
                <w:szCs w:val="21"/>
              </w:rPr>
              <w:t>证书之一；男性。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668" w:type="dxa"/>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综合文秘</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岗位</w:t>
            </w:r>
          </w:p>
        </w:tc>
        <w:tc>
          <w:tcPr>
            <w:tcW w:w="850" w:type="dxa"/>
            <w:vAlign w:val="center"/>
          </w:tcPr>
          <w:p>
            <w:pPr>
              <w:spacing w:line="40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400" w:lineRule="exact"/>
              <w:jc w:val="center"/>
              <w:rPr>
                <w:rFonts w:eastAsia="仿宋_GB2312"/>
                <w:color w:val="000000"/>
                <w:sz w:val="24"/>
              </w:rPr>
            </w:pPr>
            <w:r>
              <w:rPr>
                <w:rFonts w:hint="eastAsia" w:eastAsia="仿宋_GB2312"/>
                <w:color w:val="000000"/>
                <w:sz w:val="24"/>
              </w:rPr>
              <w:t>中文类文秘、汉语言文学、新闻学</w:t>
            </w:r>
          </w:p>
        </w:tc>
        <w:tc>
          <w:tcPr>
            <w:tcW w:w="1559" w:type="dxa"/>
            <w:vAlign w:val="center"/>
          </w:tcPr>
          <w:p>
            <w:pPr>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jc w:val="center"/>
              <w:rPr>
                <w:rFonts w:eastAsia="仿宋_GB2312"/>
                <w:color w:val="000000"/>
                <w:sz w:val="24"/>
              </w:rPr>
            </w:pPr>
            <w:r>
              <w:rPr>
                <w:rFonts w:hint="eastAsia" w:eastAsia="仿宋_GB2312"/>
                <w:color w:val="000000"/>
                <w:sz w:val="24"/>
              </w:rPr>
              <w:t>全日制本科学历</w:t>
            </w:r>
          </w:p>
        </w:tc>
        <w:tc>
          <w:tcPr>
            <w:tcW w:w="1701" w:type="dxa"/>
            <w:vAlign w:val="center"/>
          </w:tcPr>
          <w:p>
            <w:pPr>
              <w:jc w:val="center"/>
              <w:rPr>
                <w:rFonts w:eastAsia="仿宋_GB2312"/>
                <w:color w:val="000000"/>
                <w:sz w:val="24"/>
              </w:rPr>
            </w:pPr>
            <w:r>
              <w:rPr>
                <w:rFonts w:hint="eastAsia" w:eastAsia="仿宋_GB2312"/>
                <w:color w:val="000000"/>
                <w:sz w:val="24"/>
              </w:rPr>
              <w:t>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隆回县管理部会计岗位</w:t>
            </w:r>
          </w:p>
        </w:tc>
        <w:tc>
          <w:tcPr>
            <w:tcW w:w="850" w:type="dxa"/>
            <w:vAlign w:val="center"/>
          </w:tcPr>
          <w:p>
            <w:pPr>
              <w:spacing w:line="40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320" w:lineRule="exact"/>
              <w:jc w:val="center"/>
              <w:rPr>
                <w:rFonts w:eastAsia="仿宋_GB2312"/>
                <w:color w:val="000000"/>
                <w:sz w:val="24"/>
              </w:rPr>
            </w:pPr>
            <w:r>
              <w:rPr>
                <w:rFonts w:hint="eastAsia" w:eastAsia="仿宋_GB2312"/>
                <w:color w:val="000000"/>
                <w:sz w:val="24"/>
              </w:rPr>
              <w:t>工商管理类会计学、财务管理、审计学和金融学、经济管理类、公共管理类劳动与社会保障</w:t>
            </w:r>
          </w:p>
        </w:tc>
        <w:tc>
          <w:tcPr>
            <w:tcW w:w="1559" w:type="dxa"/>
            <w:vAlign w:val="center"/>
          </w:tcPr>
          <w:p>
            <w:pPr>
              <w:spacing w:line="320" w:lineRule="exact"/>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spacing w:line="320" w:lineRule="exact"/>
              <w:jc w:val="center"/>
              <w:rPr>
                <w:rFonts w:eastAsia="仿宋_GB2312"/>
                <w:color w:val="000000"/>
                <w:sz w:val="24"/>
              </w:rPr>
            </w:pPr>
            <w:r>
              <w:rPr>
                <w:rFonts w:hint="eastAsia" w:eastAsia="仿宋_GB2312"/>
                <w:color w:val="000000"/>
                <w:sz w:val="24"/>
              </w:rPr>
              <w:t>全日制本科学历</w:t>
            </w:r>
          </w:p>
        </w:tc>
        <w:tc>
          <w:tcPr>
            <w:tcW w:w="1701" w:type="dxa"/>
            <w:vAlign w:val="center"/>
          </w:tcPr>
          <w:p>
            <w:pPr>
              <w:spacing w:line="320" w:lineRule="exact"/>
              <w:rPr>
                <w:rFonts w:eastAsia="仿宋_GB2312"/>
                <w:color w:val="000000"/>
                <w:sz w:val="24"/>
              </w:rPr>
            </w:pPr>
            <w:r>
              <w:rPr>
                <w:rFonts w:hint="eastAsia" w:eastAsia="仿宋_GB2312"/>
                <w:color w:val="000000"/>
                <w:sz w:val="24"/>
              </w:rPr>
              <w:t>有会计证或会计员及以上职称的，学历可放宽至全日制大专。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vAlign w:val="center"/>
          </w:tcPr>
          <w:p>
            <w:pPr>
              <w:spacing w:line="400" w:lineRule="exact"/>
              <w:jc w:val="center"/>
              <w:rPr>
                <w:rFonts w:hint="eastAsia" w:ascii="仿宋_GB2312" w:eastAsia="仿宋_GB2312"/>
                <w:color w:val="000000"/>
                <w:sz w:val="28"/>
                <w:szCs w:val="28"/>
              </w:rPr>
            </w:pPr>
          </w:p>
          <w:p>
            <w:pPr>
              <w:spacing w:line="400" w:lineRule="exact"/>
              <w:jc w:val="center"/>
              <w:rPr>
                <w:rFonts w:hint="eastAsia" w:ascii="仿宋_GB2312" w:eastAsia="仿宋_GB2312"/>
                <w:color w:val="000000"/>
                <w:sz w:val="28"/>
                <w:szCs w:val="28"/>
              </w:rPr>
            </w:pPr>
          </w:p>
          <w:p>
            <w:pPr>
              <w:spacing w:line="400" w:lineRule="exact"/>
              <w:jc w:val="center"/>
              <w:rPr>
                <w:rFonts w:hint="eastAsia" w:ascii="仿宋_GB2312" w:eastAsia="仿宋_GB2312"/>
                <w:color w:val="000000"/>
                <w:sz w:val="28"/>
                <w:szCs w:val="28"/>
              </w:rPr>
            </w:pPr>
          </w:p>
        </w:tc>
        <w:tc>
          <w:tcPr>
            <w:tcW w:w="850" w:type="dxa"/>
            <w:vAlign w:val="center"/>
          </w:tcPr>
          <w:p>
            <w:pPr>
              <w:spacing w:line="400" w:lineRule="exact"/>
              <w:jc w:val="center"/>
              <w:rPr>
                <w:rFonts w:ascii="仿宋_GB2312" w:eastAsia="仿宋_GB2312"/>
                <w:color w:val="000000"/>
                <w:sz w:val="28"/>
                <w:szCs w:val="28"/>
              </w:rPr>
            </w:pPr>
          </w:p>
        </w:tc>
        <w:tc>
          <w:tcPr>
            <w:tcW w:w="1985" w:type="dxa"/>
            <w:vAlign w:val="center"/>
          </w:tcPr>
          <w:p>
            <w:pPr>
              <w:spacing w:line="320" w:lineRule="exact"/>
              <w:jc w:val="center"/>
              <w:rPr>
                <w:rFonts w:hint="eastAsia" w:eastAsia="仿宋_GB2312"/>
                <w:color w:val="000000"/>
                <w:sz w:val="24"/>
              </w:rPr>
            </w:pPr>
          </w:p>
        </w:tc>
        <w:tc>
          <w:tcPr>
            <w:tcW w:w="1559" w:type="dxa"/>
            <w:vAlign w:val="center"/>
          </w:tcPr>
          <w:p>
            <w:pPr>
              <w:spacing w:line="320" w:lineRule="exact"/>
              <w:rPr>
                <w:rFonts w:eastAsia="仿宋_GB2312"/>
                <w:color w:val="000000"/>
                <w:sz w:val="24"/>
              </w:rPr>
            </w:pPr>
          </w:p>
        </w:tc>
        <w:tc>
          <w:tcPr>
            <w:tcW w:w="1417" w:type="dxa"/>
            <w:vAlign w:val="center"/>
          </w:tcPr>
          <w:p>
            <w:pPr>
              <w:spacing w:line="320" w:lineRule="exact"/>
              <w:jc w:val="center"/>
              <w:rPr>
                <w:rFonts w:hint="eastAsia" w:eastAsia="仿宋_GB2312"/>
                <w:color w:val="000000"/>
                <w:sz w:val="24"/>
              </w:rPr>
            </w:pPr>
          </w:p>
        </w:tc>
        <w:tc>
          <w:tcPr>
            <w:tcW w:w="1701" w:type="dxa"/>
            <w:vAlign w:val="center"/>
          </w:tcPr>
          <w:p>
            <w:pPr>
              <w:spacing w:line="320" w:lineRule="exact"/>
              <w:rPr>
                <w:rFonts w:hint="eastAsia"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洞口县管理部会计岗位</w:t>
            </w:r>
          </w:p>
        </w:tc>
        <w:tc>
          <w:tcPr>
            <w:tcW w:w="850" w:type="dxa"/>
            <w:vAlign w:val="center"/>
          </w:tcPr>
          <w:p>
            <w:pPr>
              <w:spacing w:line="32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320" w:lineRule="exact"/>
              <w:jc w:val="center"/>
              <w:rPr>
                <w:rFonts w:eastAsia="仿宋_GB2312"/>
                <w:color w:val="000000"/>
                <w:sz w:val="24"/>
              </w:rPr>
            </w:pPr>
            <w:r>
              <w:rPr>
                <w:rFonts w:hint="eastAsia" w:eastAsia="仿宋_GB2312"/>
                <w:color w:val="000000"/>
                <w:sz w:val="24"/>
              </w:rPr>
              <w:t>工商管理类会计学、财务管理、审计学和金融学，经济管理类、公共管理类劳动与社会保障</w:t>
            </w:r>
          </w:p>
        </w:tc>
        <w:tc>
          <w:tcPr>
            <w:tcW w:w="1559" w:type="dxa"/>
            <w:vAlign w:val="center"/>
          </w:tcPr>
          <w:p>
            <w:pPr>
              <w:spacing w:line="320" w:lineRule="exact"/>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spacing w:line="320" w:lineRule="exact"/>
              <w:jc w:val="center"/>
              <w:rPr>
                <w:rFonts w:eastAsia="仿宋_GB2312"/>
                <w:color w:val="000000"/>
                <w:sz w:val="24"/>
              </w:rPr>
            </w:pPr>
            <w:r>
              <w:rPr>
                <w:rFonts w:hint="eastAsia" w:eastAsia="仿宋_GB2312"/>
                <w:color w:val="000000"/>
                <w:sz w:val="24"/>
              </w:rPr>
              <w:t>全日制本科学历</w:t>
            </w:r>
          </w:p>
        </w:tc>
        <w:tc>
          <w:tcPr>
            <w:tcW w:w="1701" w:type="dxa"/>
            <w:vAlign w:val="center"/>
          </w:tcPr>
          <w:p>
            <w:pPr>
              <w:spacing w:line="320" w:lineRule="exact"/>
              <w:rPr>
                <w:rFonts w:eastAsia="仿宋_GB2312"/>
                <w:color w:val="000000"/>
                <w:sz w:val="24"/>
              </w:rPr>
            </w:pPr>
            <w:r>
              <w:rPr>
                <w:rFonts w:hint="eastAsia" w:eastAsia="仿宋_GB2312"/>
                <w:color w:val="000000"/>
                <w:sz w:val="24"/>
              </w:rPr>
              <w:t>有会计证或会计员及以上职称的，学历可放宽至全日制大专。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绥宁县管理部会计岗位</w:t>
            </w:r>
          </w:p>
        </w:tc>
        <w:tc>
          <w:tcPr>
            <w:tcW w:w="850" w:type="dxa"/>
            <w:vAlign w:val="center"/>
          </w:tcPr>
          <w:p>
            <w:pPr>
              <w:spacing w:line="32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985" w:type="dxa"/>
            <w:vAlign w:val="center"/>
          </w:tcPr>
          <w:p>
            <w:pPr>
              <w:spacing w:line="320" w:lineRule="exact"/>
              <w:jc w:val="center"/>
              <w:rPr>
                <w:rFonts w:eastAsia="仿宋_GB2312"/>
                <w:color w:val="000000"/>
                <w:sz w:val="24"/>
              </w:rPr>
            </w:pPr>
            <w:r>
              <w:rPr>
                <w:rFonts w:hint="eastAsia" w:eastAsia="仿宋_GB2312"/>
                <w:color w:val="000000"/>
                <w:sz w:val="24"/>
              </w:rPr>
              <w:t>工商管理类会计学、财务管理、审计学和金融学，经济管理类、公共管理类劳动与社会保障</w:t>
            </w:r>
          </w:p>
        </w:tc>
        <w:tc>
          <w:tcPr>
            <w:tcW w:w="1559" w:type="dxa"/>
            <w:vAlign w:val="center"/>
          </w:tcPr>
          <w:p>
            <w:pPr>
              <w:spacing w:line="320" w:lineRule="exact"/>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spacing w:line="320" w:lineRule="exact"/>
              <w:jc w:val="center"/>
              <w:rPr>
                <w:rFonts w:eastAsia="仿宋_GB2312"/>
                <w:color w:val="000000"/>
                <w:sz w:val="24"/>
              </w:rPr>
            </w:pPr>
            <w:r>
              <w:rPr>
                <w:rFonts w:hint="eastAsia" w:eastAsia="仿宋_GB2312"/>
                <w:color w:val="000000"/>
                <w:sz w:val="24"/>
              </w:rPr>
              <w:t>全日制本科学历</w:t>
            </w:r>
          </w:p>
        </w:tc>
        <w:tc>
          <w:tcPr>
            <w:tcW w:w="1701" w:type="dxa"/>
            <w:vAlign w:val="center"/>
          </w:tcPr>
          <w:p>
            <w:pPr>
              <w:spacing w:line="320" w:lineRule="exact"/>
              <w:rPr>
                <w:rFonts w:eastAsia="仿宋_GB2312"/>
                <w:color w:val="000000"/>
                <w:sz w:val="24"/>
              </w:rPr>
            </w:pPr>
            <w:r>
              <w:rPr>
                <w:rFonts w:hint="eastAsia" w:eastAsia="仿宋_GB2312"/>
                <w:color w:val="000000"/>
                <w:sz w:val="24"/>
              </w:rPr>
              <w:t>有会计证或会计员及以上职称的，学历可放宽至全日制大专。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66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城步县管理部会计岗位</w:t>
            </w:r>
          </w:p>
        </w:tc>
        <w:tc>
          <w:tcPr>
            <w:tcW w:w="850" w:type="dxa"/>
            <w:vAlign w:val="center"/>
          </w:tcPr>
          <w:p>
            <w:pPr>
              <w:spacing w:line="32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320" w:lineRule="exact"/>
              <w:jc w:val="center"/>
              <w:rPr>
                <w:rFonts w:eastAsia="仿宋_GB2312"/>
                <w:color w:val="000000"/>
                <w:sz w:val="24"/>
              </w:rPr>
            </w:pPr>
            <w:r>
              <w:rPr>
                <w:rFonts w:hint="eastAsia" w:eastAsia="仿宋_GB2312"/>
                <w:color w:val="000000"/>
                <w:sz w:val="24"/>
              </w:rPr>
              <w:t>工商管理类会计学、财务管理、审计学和金融学，经济管理类、公共管理类劳动与社会保障</w:t>
            </w:r>
          </w:p>
        </w:tc>
        <w:tc>
          <w:tcPr>
            <w:tcW w:w="1559" w:type="dxa"/>
            <w:vAlign w:val="center"/>
          </w:tcPr>
          <w:p>
            <w:pPr>
              <w:spacing w:line="320" w:lineRule="exact"/>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spacing w:line="320" w:lineRule="exact"/>
              <w:jc w:val="center"/>
              <w:rPr>
                <w:rFonts w:eastAsia="仿宋_GB2312"/>
                <w:color w:val="000000"/>
                <w:sz w:val="24"/>
              </w:rPr>
            </w:pPr>
            <w:r>
              <w:rPr>
                <w:rFonts w:hint="eastAsia" w:eastAsia="仿宋_GB2312"/>
                <w:color w:val="000000"/>
                <w:sz w:val="24"/>
              </w:rPr>
              <w:t>全日制本科学历</w:t>
            </w:r>
          </w:p>
        </w:tc>
        <w:tc>
          <w:tcPr>
            <w:tcW w:w="1701" w:type="dxa"/>
            <w:vAlign w:val="center"/>
          </w:tcPr>
          <w:p>
            <w:pPr>
              <w:spacing w:line="320" w:lineRule="exact"/>
              <w:rPr>
                <w:rFonts w:eastAsia="仿宋_GB2312"/>
                <w:color w:val="000000"/>
                <w:sz w:val="24"/>
              </w:rPr>
            </w:pPr>
            <w:r>
              <w:rPr>
                <w:rFonts w:hint="eastAsia" w:eastAsia="仿宋_GB2312"/>
                <w:color w:val="000000"/>
                <w:sz w:val="24"/>
              </w:rPr>
              <w:t>有会计证或会计员及以上职称的，学历可放宽至全日制大专。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66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武冈市管理部会计岗位</w:t>
            </w:r>
          </w:p>
        </w:tc>
        <w:tc>
          <w:tcPr>
            <w:tcW w:w="850" w:type="dxa"/>
            <w:vAlign w:val="center"/>
          </w:tcPr>
          <w:p>
            <w:pPr>
              <w:spacing w:line="32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320" w:lineRule="exact"/>
              <w:jc w:val="center"/>
              <w:rPr>
                <w:rFonts w:eastAsia="仿宋_GB2312"/>
                <w:color w:val="000000"/>
                <w:sz w:val="24"/>
              </w:rPr>
            </w:pPr>
            <w:r>
              <w:rPr>
                <w:rFonts w:hint="eastAsia" w:eastAsia="仿宋_GB2312"/>
                <w:color w:val="000000"/>
                <w:sz w:val="24"/>
              </w:rPr>
              <w:t>工商管理类会计学、财务管理、审计学和金融学，经济管理类、公共管理类劳动与社会保障</w:t>
            </w:r>
          </w:p>
        </w:tc>
        <w:tc>
          <w:tcPr>
            <w:tcW w:w="1559" w:type="dxa"/>
            <w:vAlign w:val="center"/>
          </w:tcPr>
          <w:p>
            <w:pPr>
              <w:spacing w:line="320" w:lineRule="exact"/>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spacing w:line="320" w:lineRule="exact"/>
              <w:jc w:val="center"/>
              <w:rPr>
                <w:rFonts w:eastAsia="仿宋_GB2312"/>
                <w:color w:val="000000"/>
                <w:sz w:val="24"/>
              </w:rPr>
            </w:pPr>
            <w:r>
              <w:rPr>
                <w:rFonts w:hint="eastAsia" w:eastAsia="仿宋_GB2312"/>
                <w:color w:val="000000"/>
                <w:sz w:val="24"/>
              </w:rPr>
              <w:t>全日制本科学历</w:t>
            </w:r>
          </w:p>
        </w:tc>
        <w:tc>
          <w:tcPr>
            <w:tcW w:w="1701" w:type="dxa"/>
            <w:vAlign w:val="center"/>
          </w:tcPr>
          <w:p>
            <w:pPr>
              <w:spacing w:line="320" w:lineRule="exact"/>
              <w:rPr>
                <w:rFonts w:eastAsia="仿宋_GB2312"/>
                <w:color w:val="000000"/>
                <w:sz w:val="24"/>
              </w:rPr>
            </w:pPr>
            <w:r>
              <w:rPr>
                <w:rFonts w:hint="eastAsia" w:eastAsia="仿宋_GB2312"/>
                <w:color w:val="000000"/>
                <w:sz w:val="24"/>
              </w:rPr>
              <w:t>有会计证或会计员及以上职称的，学历可放宽至全日制大专。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66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新宁县管理部会计岗位</w:t>
            </w:r>
          </w:p>
        </w:tc>
        <w:tc>
          <w:tcPr>
            <w:tcW w:w="850" w:type="dxa"/>
            <w:vAlign w:val="center"/>
          </w:tcPr>
          <w:p>
            <w:pPr>
              <w:spacing w:line="32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985" w:type="dxa"/>
            <w:vAlign w:val="center"/>
          </w:tcPr>
          <w:p>
            <w:pPr>
              <w:spacing w:line="320" w:lineRule="exact"/>
              <w:jc w:val="center"/>
              <w:rPr>
                <w:rFonts w:eastAsia="仿宋_GB2312"/>
                <w:color w:val="000000"/>
                <w:sz w:val="24"/>
              </w:rPr>
            </w:pPr>
            <w:r>
              <w:rPr>
                <w:rFonts w:hint="eastAsia" w:eastAsia="仿宋_GB2312"/>
                <w:color w:val="000000"/>
                <w:sz w:val="24"/>
              </w:rPr>
              <w:t>工商管理类会计学、财务管理、审计学和金融学，经济管理类、公共管理类劳动与社会保障</w:t>
            </w:r>
          </w:p>
        </w:tc>
        <w:tc>
          <w:tcPr>
            <w:tcW w:w="1559" w:type="dxa"/>
            <w:vAlign w:val="center"/>
          </w:tcPr>
          <w:p>
            <w:pPr>
              <w:spacing w:line="320" w:lineRule="exact"/>
              <w:rPr>
                <w:rFonts w:eastAsia="仿宋_GB2312"/>
                <w:color w:val="000000"/>
                <w:sz w:val="24"/>
              </w:rPr>
            </w:pPr>
            <w:r>
              <w:rPr>
                <w:rFonts w:eastAsia="仿宋_GB2312"/>
                <w:color w:val="000000"/>
                <w:sz w:val="24"/>
              </w:rPr>
              <w:t>1982</w:t>
            </w:r>
            <w:r>
              <w:rPr>
                <w:rFonts w:hint="eastAsia" w:eastAsia="仿宋_GB2312"/>
                <w:color w:val="000000"/>
                <w:sz w:val="24"/>
              </w:rPr>
              <w:t>年</w:t>
            </w:r>
            <w:r>
              <w:rPr>
                <w:rFonts w:eastAsia="仿宋_GB2312"/>
                <w:color w:val="000000"/>
                <w:sz w:val="24"/>
              </w:rPr>
              <w:t>1</w:t>
            </w:r>
            <w:r>
              <w:rPr>
                <w:rFonts w:hint="eastAsia" w:eastAsia="仿宋_GB2312"/>
                <w:color w:val="000000"/>
                <w:sz w:val="24"/>
              </w:rPr>
              <w:t>月</w:t>
            </w:r>
            <w:r>
              <w:rPr>
                <w:rFonts w:eastAsia="仿宋_GB2312"/>
                <w:color w:val="000000"/>
                <w:sz w:val="24"/>
              </w:rPr>
              <w:t>1</w:t>
            </w:r>
            <w:r>
              <w:rPr>
                <w:rFonts w:hint="eastAsia" w:eastAsia="仿宋_GB2312"/>
                <w:color w:val="000000"/>
                <w:sz w:val="24"/>
              </w:rPr>
              <w:t>日以后出生</w:t>
            </w:r>
          </w:p>
        </w:tc>
        <w:tc>
          <w:tcPr>
            <w:tcW w:w="1417" w:type="dxa"/>
            <w:vAlign w:val="center"/>
          </w:tcPr>
          <w:p>
            <w:pPr>
              <w:spacing w:line="320" w:lineRule="exact"/>
              <w:jc w:val="center"/>
              <w:rPr>
                <w:rFonts w:eastAsia="仿宋_GB2312"/>
                <w:color w:val="000000"/>
                <w:sz w:val="24"/>
              </w:rPr>
            </w:pPr>
            <w:r>
              <w:rPr>
                <w:rFonts w:hint="eastAsia" w:eastAsia="仿宋_GB2312"/>
                <w:color w:val="000000"/>
                <w:sz w:val="24"/>
              </w:rPr>
              <w:t>全日制本科学历</w:t>
            </w:r>
          </w:p>
        </w:tc>
        <w:tc>
          <w:tcPr>
            <w:tcW w:w="1701" w:type="dxa"/>
            <w:vAlign w:val="center"/>
          </w:tcPr>
          <w:p>
            <w:pPr>
              <w:spacing w:line="320" w:lineRule="exact"/>
              <w:rPr>
                <w:rFonts w:eastAsia="仿宋_GB2312"/>
                <w:color w:val="000000"/>
                <w:sz w:val="24"/>
              </w:rPr>
            </w:pPr>
            <w:r>
              <w:rPr>
                <w:rFonts w:hint="eastAsia" w:eastAsia="仿宋_GB2312"/>
                <w:color w:val="000000"/>
                <w:sz w:val="24"/>
              </w:rPr>
              <w:t>有会计证或会计员及以上职称的，学历可放宽至全日制大专。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668" w:type="dxa"/>
            <w:vAlign w:val="center"/>
          </w:tcPr>
          <w:p>
            <w:pPr>
              <w:spacing w:line="320" w:lineRule="exact"/>
              <w:jc w:val="center"/>
              <w:rPr>
                <w:rFonts w:hint="eastAsia" w:ascii="仿宋_GB2312" w:eastAsia="仿宋_GB2312"/>
                <w:color w:val="000000"/>
                <w:sz w:val="28"/>
                <w:szCs w:val="28"/>
              </w:rPr>
            </w:pPr>
          </w:p>
        </w:tc>
        <w:tc>
          <w:tcPr>
            <w:tcW w:w="850" w:type="dxa"/>
            <w:vAlign w:val="center"/>
          </w:tcPr>
          <w:p>
            <w:pPr>
              <w:spacing w:line="320" w:lineRule="exact"/>
              <w:jc w:val="center"/>
              <w:rPr>
                <w:rFonts w:ascii="仿宋_GB2312" w:eastAsia="仿宋_GB2312"/>
                <w:color w:val="000000"/>
                <w:sz w:val="28"/>
                <w:szCs w:val="28"/>
              </w:rPr>
            </w:pPr>
          </w:p>
        </w:tc>
        <w:tc>
          <w:tcPr>
            <w:tcW w:w="1985" w:type="dxa"/>
            <w:vAlign w:val="center"/>
          </w:tcPr>
          <w:p>
            <w:pPr>
              <w:spacing w:line="320" w:lineRule="exact"/>
              <w:jc w:val="center"/>
              <w:rPr>
                <w:rFonts w:hint="eastAsia" w:eastAsia="仿宋_GB2312"/>
                <w:color w:val="000000"/>
                <w:sz w:val="24"/>
              </w:rPr>
            </w:pPr>
          </w:p>
        </w:tc>
        <w:tc>
          <w:tcPr>
            <w:tcW w:w="1559" w:type="dxa"/>
            <w:vAlign w:val="center"/>
          </w:tcPr>
          <w:p>
            <w:pPr>
              <w:spacing w:line="320" w:lineRule="exact"/>
              <w:rPr>
                <w:rFonts w:eastAsia="仿宋_GB2312"/>
                <w:color w:val="000000"/>
                <w:sz w:val="24"/>
              </w:rPr>
            </w:pPr>
          </w:p>
        </w:tc>
        <w:tc>
          <w:tcPr>
            <w:tcW w:w="1417" w:type="dxa"/>
            <w:vAlign w:val="center"/>
          </w:tcPr>
          <w:p>
            <w:pPr>
              <w:spacing w:line="320" w:lineRule="exact"/>
              <w:jc w:val="center"/>
              <w:rPr>
                <w:rFonts w:hint="eastAsia" w:eastAsia="仿宋_GB2312"/>
                <w:color w:val="000000"/>
                <w:sz w:val="24"/>
              </w:rPr>
            </w:pPr>
          </w:p>
        </w:tc>
        <w:tc>
          <w:tcPr>
            <w:tcW w:w="1701" w:type="dxa"/>
            <w:vAlign w:val="center"/>
          </w:tcPr>
          <w:p>
            <w:pPr>
              <w:spacing w:line="320" w:lineRule="exact"/>
              <w:rPr>
                <w:rFonts w:hint="eastAsia" w:eastAsia="仿宋_GB2312"/>
                <w:color w:val="000000"/>
                <w:sz w:val="24"/>
              </w:rPr>
            </w:pPr>
          </w:p>
        </w:tc>
      </w:tr>
    </w:tbl>
    <w:tbl>
      <w:tblPr>
        <w:tblStyle w:val="9"/>
        <w:tblpPr w:leftFromText="180" w:rightFromText="180" w:vertAnchor="text" w:tblpX="12134" w:tblpY="-16375"/>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vAlign w:val="top"/>
          </w:tcPr>
          <w:p>
            <w:pPr>
              <w:rPr>
                <w:rFonts w:eastAsia="仿宋_GB2312"/>
                <w:b/>
                <w:color w:val="000000"/>
                <w:sz w:val="32"/>
                <w:szCs w:val="32"/>
              </w:rPr>
            </w:pPr>
          </w:p>
        </w:tc>
      </w:tr>
    </w:tbl>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、基本条件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（一）政治素质和道德品质良好</w:t>
      </w:r>
      <w:r>
        <w:rPr>
          <w:rFonts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eastAsia="仿宋_GB2312"/>
          <w:color w:val="000000"/>
          <w:sz w:val="32"/>
          <w:szCs w:val="32"/>
        </w:rPr>
        <w:t>（二）</w:t>
      </w:r>
      <w:r>
        <w:rPr>
          <w:rFonts w:hint="eastAsia" w:ascii="仿宋_GB2312" w:eastAsia="仿宋_GB2312"/>
          <w:color w:val="000000"/>
          <w:sz w:val="32"/>
          <w:szCs w:val="32"/>
        </w:rPr>
        <w:t>遵守宪法和</w:t>
      </w:r>
      <w:bookmarkStart w:id="0" w:name="_GoBack"/>
      <w:bookmarkEnd w:id="0"/>
      <w:r>
        <w:rPr>
          <w:rFonts w:hint="eastAsia" w:ascii="仿宋_GB2312" w:eastAsia="仿宋_GB2312"/>
          <w:color w:val="000000"/>
          <w:sz w:val="32"/>
          <w:szCs w:val="32"/>
        </w:rPr>
        <w:t>法律、品行端正</w:t>
      </w:r>
      <w:r>
        <w:rPr>
          <w:rFonts w:ascii="仿宋_GB2312"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（三）身体健康，符合国家招考公务员的体检标准</w:t>
      </w:r>
      <w:r>
        <w:rPr>
          <w:rFonts w:eastAsia="仿宋_GB2312"/>
          <w:color w:val="000000"/>
          <w:sz w:val="32"/>
          <w:szCs w:val="32"/>
        </w:rPr>
        <w:t>;</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（五）服从组织分配</w:t>
      </w:r>
      <w:r>
        <w:rPr>
          <w:rFonts w:hint="eastAsia" w:eastAsia="仿宋_GB2312"/>
          <w:color w:val="000000"/>
          <w:sz w:val="32"/>
          <w:szCs w:val="32"/>
          <w:lang w:eastAsia="zh-CN"/>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（四）法律规定的其他条件</w:t>
      </w:r>
      <w:r>
        <w:rPr>
          <w:rFonts w:hint="eastAsia" w:eastAsia="仿宋_GB2312"/>
          <w:color w:val="000000"/>
          <w:sz w:val="32"/>
          <w:szCs w:val="32"/>
          <w:lang w:eastAsia="zh-CN"/>
        </w:rPr>
        <w:t>。</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eastAsia="zh-CN"/>
        </w:rPr>
        <w:t>三</w:t>
      </w:r>
      <w:r>
        <w:rPr>
          <w:rFonts w:hint="eastAsia" w:ascii="黑体" w:hAnsi="黑体" w:eastAsia="黑体"/>
          <w:color w:val="000000"/>
          <w:sz w:val="32"/>
          <w:szCs w:val="32"/>
        </w:rPr>
        <w:t>、其他要求</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（一）每名报考人员限报一个职位，职位之间不能异动。</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（二）报考管理部会计岗位，具有中、高级会计职称的，在同</w:t>
      </w:r>
      <w:r>
        <w:rPr>
          <w:rFonts w:hint="eastAsia" w:eastAsia="仿宋_GB2312"/>
          <w:color w:val="000000"/>
          <w:sz w:val="32"/>
          <w:szCs w:val="32"/>
          <w:lang w:eastAsia="zh-CN"/>
        </w:rPr>
        <w:t>等</w:t>
      </w:r>
      <w:r>
        <w:rPr>
          <w:rFonts w:hint="eastAsia" w:eastAsia="仿宋_GB2312"/>
          <w:color w:val="000000"/>
          <w:sz w:val="32"/>
          <w:szCs w:val="32"/>
        </w:rPr>
        <w:t>条件下优先录取。</w:t>
      </w:r>
    </w:p>
    <w:p>
      <w:pPr>
        <w:numPr>
          <w:ilvl w:val="0"/>
          <w:numId w:val="0"/>
        </w:numPr>
        <w:spacing w:line="560" w:lineRule="exact"/>
        <w:rPr>
          <w:rFonts w:ascii="黑体" w:hAnsi="黑体" w:eastAsia="黑体"/>
          <w:color w:val="000000"/>
          <w:sz w:val="32"/>
          <w:szCs w:val="32"/>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四、</w:t>
      </w:r>
      <w:r>
        <w:rPr>
          <w:rFonts w:hint="eastAsia" w:ascii="黑体" w:hAnsi="黑体" w:eastAsia="黑体"/>
          <w:color w:val="000000"/>
          <w:sz w:val="32"/>
          <w:szCs w:val="32"/>
        </w:rPr>
        <w:t>招聘程序</w:t>
      </w:r>
    </w:p>
    <w:p>
      <w:pPr>
        <w:spacing w:line="560" w:lineRule="exact"/>
        <w:ind w:firstLine="640" w:firstLineChars="200"/>
        <w:rPr>
          <w:rFonts w:eastAsia="仿宋_GB2312"/>
          <w:color w:val="000000"/>
          <w:sz w:val="32"/>
          <w:szCs w:val="32"/>
        </w:rPr>
      </w:pPr>
      <w:r>
        <w:rPr>
          <w:rFonts w:hint="eastAsia" w:eastAsia="仿宋_GB2312"/>
          <w:color w:val="000000"/>
          <w:sz w:val="32"/>
          <w:szCs w:val="32"/>
        </w:rPr>
        <w:t>招聘工作按制定方案、发布公告、报名、资格审查、笔试、面试、体检、考察、公示、聘用等步骤进行。查询相关招聘信息请登陆邵阳市住房公积金管理中心网</w:t>
      </w:r>
      <w:r>
        <w:rPr>
          <w:rFonts w:hint="eastAsia" w:eastAsia="仿宋_GB2312"/>
          <w:color w:val="000000"/>
          <w:sz w:val="32"/>
          <w:szCs w:val="32"/>
          <w:lang w:eastAsia="zh-CN"/>
        </w:rPr>
        <w:t>站</w:t>
      </w:r>
      <w:r>
        <w:rPr>
          <w:rFonts w:eastAsia="仿宋_GB2312"/>
          <w:color w:val="000000"/>
          <w:sz w:val="32"/>
          <w:szCs w:val="32"/>
        </w:rPr>
        <w:t>(</w:t>
      </w:r>
      <w:r>
        <w:rPr>
          <w:color w:val="000000"/>
        </w:rPr>
        <w:fldChar w:fldCharType="begin"/>
      </w:r>
      <w:r>
        <w:rPr>
          <w:color w:val="000000"/>
        </w:rPr>
        <w:instrText xml:space="preserve"> HYPERLINK "http://www.hnsygjj.com/" </w:instrText>
      </w:r>
      <w:r>
        <w:rPr>
          <w:color w:val="000000"/>
        </w:rPr>
        <w:fldChar w:fldCharType="separate"/>
      </w:r>
      <w:r>
        <w:rPr>
          <w:rStyle w:val="8"/>
          <w:rFonts w:eastAsia="仿宋_GB2312"/>
          <w:color w:val="000000"/>
          <w:sz w:val="32"/>
          <w:szCs w:val="32"/>
        </w:rPr>
        <w:t>http://www.hnsygjj.c</w:t>
      </w:r>
      <w:r>
        <w:rPr>
          <w:rStyle w:val="8"/>
          <w:rFonts w:hint="eastAsia" w:eastAsia="仿宋_GB2312"/>
          <w:color w:val="000000"/>
          <w:sz w:val="32"/>
          <w:szCs w:val="32"/>
          <w:lang w:val="en-US" w:eastAsia="zh-CN"/>
        </w:rPr>
        <w:t>n</w:t>
      </w:r>
      <w:r>
        <w:rPr>
          <w:rStyle w:val="8"/>
          <w:rFonts w:eastAsia="仿宋_GB2312"/>
          <w:color w:val="000000"/>
          <w:sz w:val="32"/>
          <w:szCs w:val="32"/>
        </w:rPr>
        <w:t>/</w:t>
      </w:r>
      <w:r>
        <w:rPr>
          <w:rFonts w:eastAsia="仿宋_GB2312"/>
          <w:color w:val="000000"/>
          <w:sz w:val="32"/>
          <w:szCs w:val="32"/>
        </w:rPr>
        <w:fldChar w:fldCharType="end"/>
      </w:r>
      <w:r>
        <w:rPr>
          <w:rFonts w:eastAsia="仿宋_GB2312"/>
          <w:color w:val="000000"/>
          <w:sz w:val="32"/>
          <w:szCs w:val="32"/>
        </w:rPr>
        <w:t>)</w:t>
      </w:r>
      <w:r>
        <w:rPr>
          <w:rFonts w:hint="eastAsia" w:eastAsia="仿宋_GB2312"/>
          <w:color w:val="000000"/>
          <w:sz w:val="32"/>
          <w:szCs w:val="32"/>
        </w:rPr>
        <w:t>、邵阳</w:t>
      </w:r>
      <w:r>
        <w:rPr>
          <w:rFonts w:hint="eastAsia" w:eastAsia="仿宋_GB2312"/>
          <w:color w:val="000000"/>
          <w:sz w:val="32"/>
          <w:szCs w:val="32"/>
          <w:lang w:eastAsia="zh-CN"/>
        </w:rPr>
        <w:t>人才网</w:t>
      </w:r>
      <w:r>
        <w:rPr>
          <w:rFonts w:hint="eastAsia" w:eastAsia="仿宋_GB2312"/>
          <w:color w:val="000000"/>
          <w:sz w:val="32"/>
          <w:szCs w:val="32"/>
        </w:rPr>
        <w:t>（</w:t>
      </w:r>
      <w:r>
        <w:rPr>
          <w:rFonts w:eastAsia="仿宋_GB2312"/>
          <w:color w:val="000000"/>
          <w:sz w:val="32"/>
          <w:szCs w:val="32"/>
        </w:rPr>
        <w:t>http://</w:t>
      </w:r>
      <w:r>
        <w:rPr>
          <w:rFonts w:hint="eastAsia" w:eastAsia="仿宋_GB2312"/>
          <w:color w:val="000000"/>
          <w:sz w:val="32"/>
          <w:szCs w:val="32"/>
          <w:lang w:val="en-US" w:eastAsia="zh-CN"/>
        </w:rPr>
        <w:t>www.syrcw.net/</w:t>
      </w:r>
      <w:r>
        <w:rPr>
          <w:rFonts w:hint="eastAsia" w:eastAsia="仿宋_GB2312"/>
          <w:color w:val="000000"/>
          <w:sz w:val="32"/>
          <w:szCs w:val="32"/>
        </w:rPr>
        <w:t>）</w:t>
      </w:r>
      <w:r>
        <w:rPr>
          <w:rFonts w:hint="eastAsia" w:eastAsia="仿宋_GB2312"/>
          <w:color w:val="000000"/>
          <w:sz w:val="32"/>
          <w:szCs w:val="32"/>
          <w:lang w:eastAsia="zh-CN"/>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（一）报名</w:t>
      </w:r>
    </w:p>
    <w:p>
      <w:pPr>
        <w:spacing w:line="560" w:lineRule="exact"/>
        <w:ind w:firstLine="640" w:firstLineChars="200"/>
        <w:rPr>
          <w:rFonts w:ascii="仿宋" w:hAnsi="仿宋" w:eastAsia="仿宋"/>
          <w:sz w:val="32"/>
          <w:szCs w:val="32"/>
        </w:rPr>
      </w:pPr>
      <w:r>
        <w:rPr>
          <w:rFonts w:hint="eastAsia" w:eastAsia="仿宋_GB2312"/>
          <w:color w:val="000000"/>
          <w:sz w:val="32"/>
          <w:szCs w:val="32"/>
          <w:lang w:val="en-US" w:eastAsia="zh-CN"/>
        </w:rPr>
        <w:t>1</w:t>
      </w:r>
      <w:r>
        <w:rPr>
          <w:rFonts w:hint="eastAsia" w:eastAsia="仿宋_GB2312"/>
          <w:color w:val="000000"/>
          <w:sz w:val="32"/>
          <w:szCs w:val="32"/>
        </w:rPr>
        <w:t>．</w:t>
      </w:r>
      <w:r>
        <w:rPr>
          <w:rFonts w:hint="eastAsia" w:eastAsia="仿宋_GB2312"/>
          <w:color w:val="000000"/>
          <w:sz w:val="32"/>
          <w:szCs w:val="32"/>
          <w:lang w:val="en-US" w:eastAsia="zh-CN"/>
        </w:rPr>
        <w:t>报名时间：</w:t>
      </w:r>
      <w:r>
        <w:rPr>
          <w:rFonts w:ascii="仿宋" w:hAnsi="仿宋" w:eastAsia="仿宋"/>
          <w:sz w:val="32"/>
          <w:szCs w:val="32"/>
        </w:rPr>
        <w:t>201</w:t>
      </w:r>
      <w:r>
        <w:rPr>
          <w:rFonts w:hint="eastAsia" w:ascii="仿宋" w:hAnsi="仿宋" w:eastAsia="仿宋"/>
          <w:sz w:val="32"/>
          <w:szCs w:val="32"/>
          <w:lang w:val="en-US" w:eastAsia="zh-CN"/>
        </w:rPr>
        <w:t>7</w:t>
      </w:r>
      <w:r>
        <w:rPr>
          <w:rFonts w:ascii="仿宋" w:hAnsi="仿宋" w:eastAsia="仿宋"/>
          <w:sz w:val="32"/>
          <w:szCs w:val="32"/>
        </w:rPr>
        <w:t>年</w:t>
      </w:r>
      <w:r>
        <w:rPr>
          <w:rFonts w:hint="eastAsia" w:ascii="仿宋" w:hAnsi="仿宋" w:eastAsia="仿宋"/>
          <w:sz w:val="32"/>
          <w:szCs w:val="32"/>
          <w:lang w:val="en-US" w:eastAsia="zh-CN"/>
        </w:rPr>
        <w:t>10</w:t>
      </w:r>
      <w:r>
        <w:rPr>
          <w:rFonts w:ascii="仿宋" w:hAnsi="仿宋" w:eastAsia="仿宋"/>
          <w:sz w:val="32"/>
          <w:szCs w:val="32"/>
        </w:rPr>
        <w:t>月</w:t>
      </w:r>
      <w:r>
        <w:rPr>
          <w:rFonts w:hint="eastAsia" w:ascii="仿宋" w:hAnsi="仿宋" w:eastAsia="仿宋"/>
          <w:sz w:val="32"/>
          <w:szCs w:val="32"/>
          <w:lang w:val="en-US" w:eastAsia="zh-CN"/>
        </w:rPr>
        <w:t>25</w:t>
      </w:r>
      <w:r>
        <w:rPr>
          <w:rFonts w:ascii="仿宋" w:hAnsi="仿宋" w:eastAsia="仿宋"/>
          <w:sz w:val="32"/>
          <w:szCs w:val="32"/>
        </w:rPr>
        <w:t>日至1</w:t>
      </w:r>
      <w:r>
        <w:rPr>
          <w:rFonts w:hint="eastAsia" w:ascii="仿宋" w:hAnsi="仿宋" w:eastAsia="仿宋"/>
          <w:sz w:val="32"/>
          <w:szCs w:val="32"/>
          <w:lang w:val="en-US" w:eastAsia="zh-CN"/>
        </w:rPr>
        <w:t>0</w:t>
      </w:r>
      <w:r>
        <w:rPr>
          <w:rFonts w:ascii="仿宋" w:hAnsi="仿宋" w:eastAsia="仿宋"/>
          <w:sz w:val="32"/>
          <w:szCs w:val="32"/>
        </w:rPr>
        <w:t>月</w:t>
      </w:r>
      <w:r>
        <w:rPr>
          <w:rFonts w:hint="eastAsia" w:ascii="仿宋" w:hAnsi="仿宋" w:eastAsia="仿宋"/>
          <w:sz w:val="32"/>
          <w:szCs w:val="32"/>
          <w:lang w:val="en-US" w:eastAsia="zh-CN"/>
        </w:rPr>
        <w:t>27</w:t>
      </w:r>
      <w:r>
        <w:rPr>
          <w:rFonts w:ascii="仿宋" w:hAnsi="仿宋" w:eastAsia="仿宋"/>
          <w:sz w:val="32"/>
          <w:szCs w:val="32"/>
        </w:rPr>
        <w:t>日（上午9:00-12:00，下午13:00-17:00）。</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w:t>
      </w:r>
      <w:r>
        <w:rPr>
          <w:rFonts w:hint="eastAsia" w:ascii="仿宋" w:hAnsi="仿宋" w:eastAsia="仿宋"/>
          <w:sz w:val="32"/>
          <w:szCs w:val="32"/>
          <w:lang w:val="en-US" w:eastAsia="zh-CN"/>
        </w:rPr>
        <w:t>报名地点：</w:t>
      </w:r>
      <w:r>
        <w:rPr>
          <w:rFonts w:hint="eastAsia" w:eastAsia="仿宋_GB2312"/>
          <w:color w:val="000000"/>
          <w:sz w:val="32"/>
          <w:szCs w:val="32"/>
        </w:rPr>
        <w:t>湖南省邵阳市大安街</w:t>
      </w:r>
      <w:r>
        <w:rPr>
          <w:rFonts w:eastAsia="仿宋_GB2312"/>
          <w:color w:val="000000"/>
          <w:sz w:val="32"/>
          <w:szCs w:val="32"/>
        </w:rPr>
        <w:t>18</w:t>
      </w:r>
      <w:r>
        <w:rPr>
          <w:rFonts w:hint="eastAsia" w:eastAsia="仿宋_GB2312"/>
          <w:color w:val="000000"/>
          <w:sz w:val="32"/>
          <w:szCs w:val="32"/>
        </w:rPr>
        <w:t>号邵阳市住房公积金管理中心</w:t>
      </w:r>
      <w:r>
        <w:rPr>
          <w:rFonts w:eastAsia="仿宋_GB2312"/>
          <w:color w:val="000000"/>
          <w:sz w:val="32"/>
          <w:szCs w:val="32"/>
        </w:rPr>
        <w:t>6</w:t>
      </w:r>
      <w:r>
        <w:rPr>
          <w:rFonts w:hint="eastAsia" w:eastAsia="仿宋_GB2312"/>
          <w:color w:val="000000"/>
          <w:sz w:val="32"/>
          <w:szCs w:val="32"/>
        </w:rPr>
        <w:t>楼会议室。</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．报名联系人：李俊，联系电话：</w:t>
      </w:r>
      <w:r>
        <w:rPr>
          <w:rFonts w:eastAsia="仿宋_GB2312"/>
          <w:color w:val="000000"/>
          <w:sz w:val="32"/>
          <w:szCs w:val="32"/>
        </w:rPr>
        <w:t>5086333</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（二）资格审查</w:t>
      </w:r>
    </w:p>
    <w:p>
      <w:pPr>
        <w:spacing w:line="560" w:lineRule="exact"/>
        <w:ind w:firstLine="640" w:firstLineChars="200"/>
        <w:rPr>
          <w:rFonts w:eastAsia="仿宋_GB2312"/>
          <w:color w:val="000000"/>
          <w:sz w:val="32"/>
          <w:szCs w:val="32"/>
        </w:rPr>
      </w:pPr>
      <w:r>
        <w:rPr>
          <w:rFonts w:hint="eastAsia" w:eastAsia="仿宋_GB2312"/>
          <w:color w:val="000000"/>
          <w:sz w:val="32"/>
          <w:szCs w:val="32"/>
        </w:rPr>
        <w:t>应聘者提供的所有证件、资料及填写的信息必须真实准确有效，凡弄虚作假者或徇私舞弊，一经发现查实，参照《公务员录用考试违纪违规行为处理办法》的规定给予取消报名资格、取消考试资格、取消聘用资格、已经聘用的取消聘用等处罚。</w:t>
      </w:r>
    </w:p>
    <w:p>
      <w:pPr>
        <w:spacing w:line="560" w:lineRule="exact"/>
        <w:ind w:firstLine="640" w:firstLineChars="200"/>
        <w:rPr>
          <w:rFonts w:eastAsia="仿宋_GB2312"/>
          <w:color w:val="000000"/>
          <w:sz w:val="32"/>
          <w:szCs w:val="32"/>
        </w:rPr>
      </w:pPr>
      <w:r>
        <w:rPr>
          <w:rFonts w:hint="eastAsia" w:eastAsia="仿宋_GB2312"/>
          <w:color w:val="000000"/>
          <w:sz w:val="32"/>
          <w:szCs w:val="32"/>
        </w:rPr>
        <w:t>所有报名人员须本人持相关证件、证明等资料在规定的时间内进行资格审查，否则</w:t>
      </w:r>
      <w:r>
        <w:rPr>
          <w:rFonts w:hint="eastAsia" w:eastAsia="仿宋_GB2312"/>
          <w:color w:val="000000"/>
          <w:sz w:val="32"/>
          <w:szCs w:val="32"/>
          <w:lang w:eastAsia="zh-CN"/>
        </w:rPr>
        <w:t>视</w:t>
      </w:r>
      <w:r>
        <w:rPr>
          <w:rFonts w:hint="eastAsia" w:eastAsia="仿宋_GB2312"/>
          <w:color w:val="000000"/>
          <w:sz w:val="32"/>
          <w:szCs w:val="32"/>
        </w:rPr>
        <w:t>为主动放弃。</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1</w:t>
      </w:r>
      <w:r>
        <w:rPr>
          <w:rFonts w:hint="eastAsia" w:eastAsia="仿宋_GB2312"/>
          <w:color w:val="000000"/>
          <w:sz w:val="32"/>
          <w:szCs w:val="32"/>
        </w:rPr>
        <w:t>．报名人员在报名的同时持相关证明材料进行资格初审。</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．资格审查应提供的材料：毕业证、学位证书、正式有效身份证、户口簿、</w:t>
      </w:r>
      <w:r>
        <w:rPr>
          <w:rFonts w:hint="eastAsia" w:eastAsia="仿宋_GB2312"/>
          <w:color w:val="000000"/>
          <w:sz w:val="32"/>
          <w:szCs w:val="32"/>
          <w:lang w:eastAsia="zh-CN"/>
        </w:rPr>
        <w:t>相应职称等级证</w:t>
      </w:r>
      <w:r>
        <w:rPr>
          <w:rFonts w:hint="eastAsia" w:eastAsia="仿宋_GB2312"/>
          <w:color w:val="000000"/>
          <w:sz w:val="32"/>
          <w:szCs w:val="32"/>
        </w:rPr>
        <w:t>等相关证件原件及两份复印件</w:t>
      </w:r>
      <w:r>
        <w:rPr>
          <w:rFonts w:eastAsia="仿宋_GB2312"/>
          <w:color w:val="000000"/>
          <w:sz w:val="32"/>
          <w:szCs w:val="32"/>
        </w:rPr>
        <w:t>(</w:t>
      </w:r>
      <w:r>
        <w:rPr>
          <w:rFonts w:hint="eastAsia" w:eastAsia="仿宋_GB2312"/>
          <w:color w:val="000000"/>
          <w:sz w:val="32"/>
          <w:szCs w:val="32"/>
        </w:rPr>
        <w:t>应届毕业生应提供加盖学校公章的毕业生就业推荐表原件及复印件</w:t>
      </w:r>
      <w:r>
        <w:rPr>
          <w:rFonts w:eastAsia="仿宋_GB2312"/>
          <w:color w:val="000000"/>
          <w:sz w:val="32"/>
          <w:szCs w:val="32"/>
        </w:rPr>
        <w:t>)</w:t>
      </w:r>
      <w:r>
        <w:rPr>
          <w:rFonts w:hint="eastAsia" w:eastAsia="仿宋_GB2312"/>
          <w:color w:val="000000"/>
          <w:sz w:val="32"/>
          <w:szCs w:val="32"/>
        </w:rPr>
        <w:t>、近期免冠一寸同底彩色照片</w:t>
      </w:r>
      <w:r>
        <w:rPr>
          <w:rFonts w:eastAsia="仿宋_GB2312"/>
          <w:color w:val="000000"/>
          <w:sz w:val="32"/>
          <w:szCs w:val="32"/>
        </w:rPr>
        <w:t>4</w:t>
      </w:r>
      <w:r>
        <w:rPr>
          <w:rFonts w:hint="eastAsia" w:eastAsia="仿宋_GB2312"/>
          <w:color w:val="000000"/>
          <w:sz w:val="32"/>
          <w:szCs w:val="32"/>
        </w:rPr>
        <w:t>张。</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．每个职位招聘人数与报考人数的开考比例原则上不低于</w:t>
      </w:r>
      <w:r>
        <w:rPr>
          <w:rFonts w:eastAsia="仿宋_GB2312"/>
          <w:color w:val="000000"/>
          <w:sz w:val="32"/>
          <w:szCs w:val="32"/>
        </w:rPr>
        <w:t>1:3</w:t>
      </w:r>
      <w:r>
        <w:rPr>
          <w:rFonts w:hint="eastAsia" w:eastAsia="仿宋_GB2312"/>
          <w:color w:val="000000"/>
          <w:sz w:val="32"/>
          <w:szCs w:val="32"/>
        </w:rPr>
        <w:t>，如报名人数达不到开考比例，须书面报管委会研究决定是否降</w:t>
      </w:r>
      <w:r>
        <w:rPr>
          <w:rFonts w:hint="eastAsia" w:eastAsia="仿宋_GB2312"/>
          <w:color w:val="000000"/>
          <w:sz w:val="32"/>
          <w:szCs w:val="32"/>
          <w:lang w:eastAsia="zh-CN"/>
        </w:rPr>
        <w:t>低开考比例或核减招聘计划</w:t>
      </w:r>
      <w:r>
        <w:rPr>
          <w:rFonts w:hint="eastAsia" w:eastAsia="仿宋_GB2312"/>
          <w:color w:val="000000"/>
          <w:sz w:val="32"/>
          <w:szCs w:val="32"/>
        </w:rPr>
        <w:t>后方可开考。</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（三）考试</w:t>
      </w:r>
    </w:p>
    <w:p>
      <w:pPr>
        <w:spacing w:line="560" w:lineRule="exact"/>
        <w:ind w:firstLine="640" w:firstLineChars="200"/>
        <w:rPr>
          <w:rFonts w:eastAsia="仿宋_GB2312"/>
          <w:color w:val="000000"/>
          <w:sz w:val="32"/>
          <w:szCs w:val="32"/>
        </w:rPr>
      </w:pPr>
      <w:r>
        <w:rPr>
          <w:rFonts w:hint="eastAsia" w:eastAsia="仿宋_GB2312"/>
          <w:color w:val="000000"/>
          <w:sz w:val="32"/>
          <w:szCs w:val="32"/>
        </w:rPr>
        <w:t>考试采取笔试和面试相结合的方式进行。</w:t>
      </w:r>
    </w:p>
    <w:p>
      <w:pPr>
        <w:numPr>
          <w:ilvl w:val="0"/>
          <w:numId w:val="1"/>
        </w:numPr>
        <w:spacing w:line="56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笔试</w:t>
      </w:r>
    </w:p>
    <w:p>
      <w:pPr>
        <w:numPr>
          <w:ilvl w:val="0"/>
          <w:numId w:val="0"/>
        </w:numPr>
        <w:spacing w:line="56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1）</w:t>
      </w:r>
      <w:r>
        <w:rPr>
          <w:rFonts w:hint="eastAsia" w:eastAsia="仿宋_GB2312"/>
          <w:color w:val="000000"/>
          <w:sz w:val="32"/>
          <w:szCs w:val="32"/>
        </w:rPr>
        <w:t>具有全日制硕士研究生学历的免笔试，</w:t>
      </w:r>
      <w:r>
        <w:rPr>
          <w:rFonts w:hint="eastAsia" w:eastAsia="仿宋_GB2312"/>
          <w:color w:val="000000"/>
          <w:sz w:val="32"/>
          <w:szCs w:val="32"/>
          <w:lang w:eastAsia="zh-CN"/>
        </w:rPr>
        <w:t>直接进入面试环节。</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全日制本科和大专学历人员需参加笔试，笔试内容为报考岗位对应的专业知识。请资格初审合格的报考者持本人身份证原件于</w:t>
      </w:r>
      <w:r>
        <w:rPr>
          <w:rFonts w:eastAsia="仿宋_GB2312"/>
          <w:color w:val="000000"/>
          <w:sz w:val="32"/>
          <w:szCs w:val="32"/>
        </w:rPr>
        <w:t>2017</w:t>
      </w:r>
      <w:r>
        <w:rPr>
          <w:rFonts w:hint="eastAsia" w:eastAsia="仿宋_GB2312"/>
          <w:color w:val="000000"/>
          <w:sz w:val="32"/>
          <w:szCs w:val="32"/>
        </w:rPr>
        <w:t>年</w:t>
      </w:r>
      <w:r>
        <w:rPr>
          <w:rFonts w:hint="eastAsia" w:eastAsia="仿宋_GB2312"/>
          <w:color w:val="000000"/>
          <w:sz w:val="32"/>
          <w:szCs w:val="32"/>
          <w:lang w:val="en-US" w:eastAsia="zh-CN"/>
        </w:rPr>
        <w:t>11</w:t>
      </w:r>
      <w:r>
        <w:rPr>
          <w:rFonts w:hint="eastAsia" w:eastAsia="仿宋_GB2312"/>
          <w:color w:val="000000"/>
          <w:sz w:val="32"/>
          <w:szCs w:val="32"/>
        </w:rPr>
        <w:t>月</w:t>
      </w:r>
      <w:r>
        <w:rPr>
          <w:rFonts w:hint="eastAsia" w:eastAsia="仿宋_GB2312"/>
          <w:color w:val="000000"/>
          <w:sz w:val="32"/>
          <w:szCs w:val="32"/>
          <w:lang w:val="en-US" w:eastAsia="zh-CN"/>
        </w:rPr>
        <w:t>7</w:t>
      </w:r>
      <w:r>
        <w:rPr>
          <w:rFonts w:hint="eastAsia" w:eastAsia="仿宋_GB2312"/>
          <w:color w:val="000000"/>
          <w:sz w:val="32"/>
          <w:szCs w:val="32"/>
        </w:rPr>
        <w:t>日</w:t>
      </w:r>
      <w:r>
        <w:rPr>
          <w:rFonts w:eastAsia="仿宋_GB2312"/>
          <w:color w:val="000000"/>
          <w:sz w:val="32"/>
          <w:szCs w:val="32"/>
        </w:rPr>
        <w:t>9:00-17:00</w:t>
      </w:r>
      <w:r>
        <w:rPr>
          <w:rFonts w:hint="eastAsia" w:eastAsia="仿宋_GB2312"/>
          <w:color w:val="000000"/>
          <w:sz w:val="32"/>
          <w:szCs w:val="32"/>
        </w:rPr>
        <w:t>到邵阳市住房公积金管理中心</w:t>
      </w:r>
      <w:r>
        <w:rPr>
          <w:rFonts w:eastAsia="仿宋_GB2312"/>
          <w:color w:val="000000"/>
          <w:sz w:val="32"/>
          <w:szCs w:val="32"/>
        </w:rPr>
        <w:t>7</w:t>
      </w:r>
      <w:r>
        <w:rPr>
          <w:rFonts w:hint="eastAsia" w:eastAsia="仿宋_GB2312"/>
          <w:color w:val="000000"/>
          <w:sz w:val="32"/>
          <w:szCs w:val="32"/>
        </w:rPr>
        <w:t>楼人事科领取</w:t>
      </w:r>
      <w:r>
        <w:rPr>
          <w:rFonts w:hint="eastAsia" w:eastAsia="仿宋_GB2312"/>
          <w:color w:val="000000"/>
          <w:sz w:val="32"/>
          <w:szCs w:val="32"/>
          <w:lang w:eastAsia="zh-CN"/>
        </w:rPr>
        <w:t>笔</w:t>
      </w:r>
      <w:r>
        <w:rPr>
          <w:rFonts w:hint="eastAsia" w:eastAsia="仿宋_GB2312"/>
          <w:color w:val="000000"/>
          <w:sz w:val="32"/>
          <w:szCs w:val="32"/>
        </w:rPr>
        <w:t>试准考证。</w:t>
      </w:r>
      <w:r>
        <w:rPr>
          <w:rFonts w:hint="eastAsia" w:eastAsia="仿宋_GB2312"/>
          <w:color w:val="000000"/>
          <w:sz w:val="32"/>
          <w:szCs w:val="32"/>
          <w:lang w:eastAsia="zh-CN"/>
        </w:rPr>
        <w:t>（</w:t>
      </w:r>
      <w:r>
        <w:rPr>
          <w:rFonts w:hint="eastAsia" w:eastAsia="仿宋_GB2312"/>
          <w:color w:val="000000"/>
          <w:sz w:val="32"/>
          <w:szCs w:val="32"/>
        </w:rPr>
        <w:t>联系人：李俊，电话：</w:t>
      </w:r>
      <w:r>
        <w:rPr>
          <w:rFonts w:eastAsia="仿宋_GB2312"/>
          <w:color w:val="000000"/>
          <w:sz w:val="32"/>
          <w:szCs w:val="32"/>
        </w:rPr>
        <w:t>5086333</w:t>
      </w:r>
      <w:r>
        <w:rPr>
          <w:rFonts w:hint="eastAsia" w:eastAsia="仿宋_GB2312"/>
          <w:color w:val="000000"/>
          <w:sz w:val="32"/>
          <w:szCs w:val="32"/>
        </w:rPr>
        <w:t>，手机：</w:t>
      </w:r>
      <w:r>
        <w:rPr>
          <w:rFonts w:eastAsia="仿宋_GB2312"/>
          <w:color w:val="000000"/>
          <w:sz w:val="32"/>
          <w:szCs w:val="32"/>
        </w:rPr>
        <w:t>18975758787</w:t>
      </w:r>
      <w:r>
        <w:rPr>
          <w:rFonts w:hint="eastAsia" w:eastAsia="仿宋_GB2312"/>
          <w:color w:val="000000"/>
          <w:sz w:val="32"/>
          <w:szCs w:val="32"/>
        </w:rPr>
        <w:t>）。</w:t>
      </w:r>
    </w:p>
    <w:p>
      <w:pPr>
        <w:spacing w:line="56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w:t>
      </w:r>
      <w:r>
        <w:rPr>
          <w:rFonts w:hint="eastAsia" w:eastAsia="仿宋_GB2312"/>
          <w:color w:val="000000"/>
          <w:sz w:val="32"/>
          <w:szCs w:val="32"/>
        </w:rPr>
        <w:t>．</w:t>
      </w:r>
      <w:r>
        <w:rPr>
          <w:rFonts w:hint="eastAsia" w:eastAsia="仿宋_GB2312"/>
          <w:color w:val="000000"/>
          <w:sz w:val="32"/>
          <w:szCs w:val="32"/>
          <w:lang w:val="en-US" w:eastAsia="zh-CN"/>
        </w:rPr>
        <w:t>面试</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1）</w:t>
      </w:r>
      <w:r>
        <w:rPr>
          <w:rFonts w:hint="eastAsia" w:eastAsia="仿宋_GB2312"/>
          <w:color w:val="000000"/>
          <w:sz w:val="32"/>
          <w:szCs w:val="32"/>
          <w:lang w:eastAsia="zh-CN"/>
        </w:rPr>
        <w:t>按</w:t>
      </w:r>
      <w:r>
        <w:rPr>
          <w:rFonts w:hint="eastAsia" w:eastAsia="仿宋_GB2312"/>
          <w:color w:val="000000"/>
          <w:sz w:val="32"/>
          <w:szCs w:val="32"/>
        </w:rPr>
        <w:t>笔试成绩从高分到低分按</w:t>
      </w:r>
      <w:r>
        <w:rPr>
          <w:rFonts w:eastAsia="仿宋_GB2312"/>
          <w:color w:val="000000"/>
          <w:sz w:val="32"/>
          <w:szCs w:val="32"/>
        </w:rPr>
        <w:t>1:3</w:t>
      </w:r>
      <w:r>
        <w:rPr>
          <w:rFonts w:hint="eastAsia" w:eastAsia="仿宋_GB2312"/>
          <w:color w:val="000000"/>
          <w:sz w:val="32"/>
          <w:szCs w:val="32"/>
        </w:rPr>
        <w:t>的比例确定面试对象，与全日制硕士研究生一起参加面试。入围面试人员名单</w:t>
      </w:r>
      <w:r>
        <w:rPr>
          <w:rFonts w:hint="eastAsia" w:eastAsia="仿宋_GB2312"/>
          <w:color w:val="000000"/>
          <w:sz w:val="32"/>
          <w:szCs w:val="32"/>
          <w:lang w:eastAsia="zh-CN"/>
        </w:rPr>
        <w:t>和</w:t>
      </w:r>
      <w:r>
        <w:rPr>
          <w:rFonts w:hint="eastAsia" w:eastAsia="仿宋_GB2312"/>
          <w:color w:val="000000"/>
          <w:sz w:val="32"/>
          <w:szCs w:val="32"/>
        </w:rPr>
        <w:t>面试时间将在邵阳市住房公积金管理中心网站</w:t>
      </w:r>
      <w:r>
        <w:rPr>
          <w:rFonts w:eastAsia="仿宋_GB2312"/>
          <w:color w:val="000000"/>
          <w:sz w:val="32"/>
          <w:szCs w:val="32"/>
        </w:rPr>
        <w:t>(</w:t>
      </w:r>
      <w:r>
        <w:rPr>
          <w:color w:val="000000"/>
        </w:rPr>
        <w:fldChar w:fldCharType="begin"/>
      </w:r>
      <w:r>
        <w:rPr>
          <w:color w:val="000000"/>
        </w:rPr>
        <w:instrText xml:space="preserve"> HYPERLINK "http://www.sysrs.gov.cn/" </w:instrText>
      </w:r>
      <w:r>
        <w:rPr>
          <w:color w:val="000000"/>
        </w:rPr>
        <w:fldChar w:fldCharType="separate"/>
      </w:r>
      <w:r>
        <w:rPr>
          <w:rFonts w:eastAsia="仿宋_GB2312"/>
          <w:color w:val="000000"/>
          <w:sz w:val="32"/>
          <w:szCs w:val="32"/>
        </w:rPr>
        <w:t>http://www.hnsygjj.cn/</w:t>
      </w:r>
      <w:r>
        <w:rPr>
          <w:rFonts w:eastAsia="仿宋_GB2312"/>
          <w:color w:val="000000"/>
          <w:sz w:val="32"/>
          <w:szCs w:val="32"/>
        </w:rPr>
        <w:fldChar w:fldCharType="end"/>
      </w:r>
      <w:r>
        <w:rPr>
          <w:rFonts w:eastAsia="仿宋_GB2312"/>
          <w:color w:val="000000"/>
          <w:sz w:val="32"/>
          <w:szCs w:val="32"/>
        </w:rPr>
        <w:t>)</w:t>
      </w:r>
      <w:r>
        <w:rPr>
          <w:rFonts w:hint="eastAsia" w:eastAsia="仿宋_GB2312"/>
          <w:color w:val="000000"/>
          <w:sz w:val="32"/>
          <w:szCs w:val="32"/>
        </w:rPr>
        <w:t>公布</w:t>
      </w:r>
      <w:r>
        <w:rPr>
          <w:rFonts w:hint="eastAsia" w:eastAsia="仿宋_GB2312"/>
          <w:color w:val="000000"/>
          <w:sz w:val="32"/>
          <w:szCs w:val="32"/>
          <w:lang w:eastAsia="zh-CN"/>
        </w:rPr>
        <w:t>，</w:t>
      </w:r>
      <w:r>
        <w:rPr>
          <w:rFonts w:hint="eastAsia" w:eastAsia="仿宋_GB2312"/>
          <w:color w:val="000000"/>
          <w:sz w:val="32"/>
          <w:szCs w:val="32"/>
        </w:rPr>
        <w:t>面试对象不按规定的时间和地点参加的，视作放弃资格;由此产生的面试空缺名额不替补。</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面试主要测试应试人员的逻辑思维与综合分析能力、计划与组织协调能力以及语言表达能力等，面试满分为100分，</w:t>
      </w:r>
      <w:r>
        <w:rPr>
          <w:rFonts w:hint="eastAsia" w:eastAsia="仿宋_GB2312"/>
          <w:color w:val="000000"/>
          <w:sz w:val="32"/>
          <w:szCs w:val="32"/>
          <w:lang w:eastAsia="zh-CN"/>
        </w:rPr>
        <w:t>合格线为</w:t>
      </w:r>
      <w:r>
        <w:rPr>
          <w:rFonts w:hint="eastAsia" w:eastAsia="仿宋_GB2312"/>
          <w:color w:val="000000"/>
          <w:sz w:val="32"/>
          <w:szCs w:val="32"/>
          <w:lang w:val="en-US" w:eastAsia="zh-CN"/>
        </w:rPr>
        <w:t>60分，</w:t>
      </w:r>
      <w:r>
        <w:rPr>
          <w:rFonts w:hint="eastAsia" w:eastAsia="仿宋_GB2312"/>
          <w:color w:val="000000"/>
          <w:sz w:val="32"/>
          <w:szCs w:val="32"/>
        </w:rPr>
        <w:t>不足60分者直接淘汰。</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笔试成绩不带入面试，应试人员最终成绩以面试成绩排序。</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（四）体检、考察</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1</w:t>
      </w:r>
      <w:r>
        <w:rPr>
          <w:rFonts w:hint="eastAsia" w:eastAsia="仿宋_GB2312"/>
          <w:color w:val="000000"/>
          <w:sz w:val="32"/>
          <w:szCs w:val="32"/>
        </w:rPr>
        <w:t>．确定体检和考察人选。根据招聘计划数，按面试成绩从高分到低分</w:t>
      </w: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的比例确定体检人员和考察人员。若有多名考生成绩相同，以笔试成绩为序（硕士研究生笔试成绩视同</w:t>
      </w:r>
      <w:r>
        <w:rPr>
          <w:rFonts w:eastAsia="仿宋_GB2312"/>
          <w:color w:val="000000"/>
          <w:sz w:val="32"/>
          <w:szCs w:val="32"/>
        </w:rPr>
        <w:t>100</w:t>
      </w:r>
      <w:r>
        <w:rPr>
          <w:rFonts w:hint="eastAsia" w:eastAsia="仿宋_GB2312"/>
          <w:color w:val="000000"/>
          <w:sz w:val="32"/>
          <w:szCs w:val="32"/>
        </w:rPr>
        <w:t>分），若面试、笔试成绩都相同，以职称高低为序。面试合格分数线为</w:t>
      </w:r>
      <w:r>
        <w:rPr>
          <w:rFonts w:eastAsia="仿宋_GB2312"/>
          <w:color w:val="000000"/>
          <w:sz w:val="32"/>
          <w:szCs w:val="32"/>
        </w:rPr>
        <w:t>60</w:t>
      </w:r>
      <w:r>
        <w:rPr>
          <w:rFonts w:hint="eastAsia" w:eastAsia="仿宋_GB2312"/>
          <w:color w:val="000000"/>
          <w:sz w:val="32"/>
          <w:szCs w:val="32"/>
        </w:rPr>
        <w:t>分，低于合格分数线的考生不进入体检程序。入围体检人员名单及体检具体时间和地点将在将在邵阳市住房公积金管理中心网站</w:t>
      </w:r>
      <w:r>
        <w:rPr>
          <w:rFonts w:eastAsia="仿宋_GB2312"/>
          <w:color w:val="000000"/>
          <w:sz w:val="32"/>
          <w:szCs w:val="32"/>
        </w:rPr>
        <w:t>(</w:t>
      </w:r>
      <w:r>
        <w:rPr>
          <w:color w:val="000000"/>
        </w:rPr>
        <w:fldChar w:fldCharType="begin"/>
      </w:r>
      <w:r>
        <w:rPr>
          <w:color w:val="000000"/>
        </w:rPr>
        <w:instrText xml:space="preserve"> HYPERLINK "http://www.sysrs.gov.cn/" </w:instrText>
      </w:r>
      <w:r>
        <w:rPr>
          <w:color w:val="000000"/>
        </w:rPr>
        <w:fldChar w:fldCharType="separate"/>
      </w:r>
      <w:r>
        <w:rPr>
          <w:rFonts w:eastAsia="仿宋_GB2312"/>
          <w:color w:val="000000"/>
          <w:sz w:val="32"/>
          <w:szCs w:val="32"/>
        </w:rPr>
        <w:t>http://www.hnsygjj.cn/</w:t>
      </w:r>
      <w:r>
        <w:rPr>
          <w:rFonts w:eastAsia="仿宋_GB2312"/>
          <w:color w:val="000000"/>
          <w:sz w:val="32"/>
          <w:szCs w:val="32"/>
        </w:rPr>
        <w:fldChar w:fldCharType="end"/>
      </w:r>
      <w:r>
        <w:rPr>
          <w:rFonts w:eastAsia="仿宋_GB2312"/>
          <w:color w:val="000000"/>
          <w:sz w:val="32"/>
          <w:szCs w:val="32"/>
        </w:rPr>
        <w:t>)</w:t>
      </w:r>
      <w:r>
        <w:rPr>
          <w:rFonts w:hint="eastAsia" w:eastAsia="仿宋_GB2312"/>
          <w:color w:val="000000"/>
          <w:sz w:val="32"/>
          <w:szCs w:val="32"/>
        </w:rPr>
        <w:t>公布。</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．体检。体检标准</w:t>
      </w:r>
      <w:r>
        <w:rPr>
          <w:rFonts w:hint="eastAsia" w:ascii="仿宋_GB2312" w:eastAsia="仿宋_GB2312"/>
          <w:color w:val="000000"/>
          <w:sz w:val="32"/>
          <w:szCs w:val="32"/>
        </w:rPr>
        <w:t>参照公务员录用体检通用标准执行</w:t>
      </w:r>
      <w:r>
        <w:rPr>
          <w:rFonts w:hint="eastAsia" w:eastAsia="仿宋_GB2312"/>
          <w:color w:val="000000"/>
          <w:sz w:val="32"/>
          <w:szCs w:val="32"/>
        </w:rPr>
        <w:t>。体检不合格者不得聘用。</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．考察。考察工作由中心组织，市人社</w:t>
      </w:r>
      <w:r>
        <w:rPr>
          <w:rFonts w:hint="eastAsia" w:eastAsia="仿宋_GB2312"/>
          <w:color w:val="000000"/>
          <w:sz w:val="32"/>
          <w:szCs w:val="32"/>
          <w:lang w:eastAsia="zh-CN"/>
        </w:rPr>
        <w:t>等部门</w:t>
      </w:r>
      <w:r>
        <w:rPr>
          <w:rFonts w:hint="eastAsia" w:eastAsia="仿宋_GB2312"/>
          <w:color w:val="000000"/>
          <w:sz w:val="32"/>
          <w:szCs w:val="32"/>
        </w:rPr>
        <w:t>指导和监督。体检合格人员列入考察对象，考察要按照德才兼备的标准，根据招聘职位要求，全面了解被考察对象的政治思想、道德品质、遵纪守法、自律意识、能力素质、工作态度、学习和工作表现等情况，并严格审查人事档案，对应聘人员资格条件进行复查，写出考察意见。已与其他单位签订劳动合同的应聘人员须在体检合格后，进入考察前由本人提供原工作单位同意解除劳动合同的证明，否则不予考察和聘用。考察结果及拟聘人员名单经中心核定后，报管委会审定。</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（五）公示</w:t>
      </w:r>
    </w:p>
    <w:p>
      <w:pPr>
        <w:spacing w:line="560" w:lineRule="exact"/>
        <w:ind w:firstLine="640" w:firstLineChars="200"/>
        <w:rPr>
          <w:rFonts w:eastAsia="仿宋_GB2312"/>
          <w:color w:val="000000"/>
          <w:sz w:val="32"/>
          <w:szCs w:val="32"/>
        </w:rPr>
      </w:pPr>
      <w:r>
        <w:rPr>
          <w:rFonts w:hint="eastAsia" w:eastAsia="仿宋_GB2312"/>
          <w:color w:val="000000"/>
          <w:sz w:val="32"/>
          <w:szCs w:val="32"/>
        </w:rPr>
        <w:t>在体检、考察环节因各种原因导致空缺时，在应聘的人员中，按面试成绩从高分到低分依次等额递补。递补不超过两次。拟聘用名单公示期满后出现空缺的不再递补。</w:t>
      </w:r>
    </w:p>
    <w:p>
      <w:pPr>
        <w:spacing w:line="560" w:lineRule="exact"/>
        <w:ind w:firstLine="640" w:firstLineChars="200"/>
        <w:rPr>
          <w:rFonts w:eastAsia="仿宋_GB2312"/>
          <w:color w:val="000000"/>
          <w:sz w:val="32"/>
          <w:szCs w:val="32"/>
        </w:rPr>
      </w:pPr>
      <w:r>
        <w:rPr>
          <w:rFonts w:hint="eastAsia" w:eastAsia="仿宋_GB2312"/>
          <w:color w:val="000000"/>
          <w:sz w:val="32"/>
          <w:szCs w:val="32"/>
        </w:rPr>
        <w:t>经考察合格的，在中心及相关网站进行公示，接受考生的咨询和社会各界的监督，公示时间为</w:t>
      </w:r>
      <w:r>
        <w:rPr>
          <w:rFonts w:eastAsia="仿宋_GB2312"/>
          <w:color w:val="000000"/>
          <w:sz w:val="32"/>
          <w:szCs w:val="32"/>
        </w:rPr>
        <w:t>7</w:t>
      </w:r>
      <w:r>
        <w:rPr>
          <w:rFonts w:hint="eastAsia" w:eastAsia="仿宋_GB2312"/>
          <w:color w:val="000000"/>
          <w:sz w:val="32"/>
          <w:szCs w:val="32"/>
        </w:rPr>
        <w:t>个工作日。</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eastAsia="zh-CN"/>
        </w:rPr>
        <w:t>五</w:t>
      </w:r>
      <w:r>
        <w:rPr>
          <w:rFonts w:hint="eastAsia" w:ascii="黑体" w:hAnsi="黑体" w:eastAsia="黑体"/>
          <w:color w:val="000000"/>
          <w:sz w:val="32"/>
          <w:szCs w:val="32"/>
        </w:rPr>
        <w:t>、聘用及待遇</w:t>
      </w:r>
    </w:p>
    <w:p>
      <w:pPr>
        <w:spacing w:line="560" w:lineRule="exact"/>
        <w:ind w:firstLine="640" w:firstLineChars="200"/>
        <w:rPr>
          <w:rFonts w:eastAsia="仿宋_GB2312"/>
          <w:color w:val="000000"/>
          <w:sz w:val="32"/>
          <w:szCs w:val="32"/>
        </w:rPr>
      </w:pPr>
      <w:r>
        <w:rPr>
          <w:rFonts w:hint="eastAsia" w:eastAsia="仿宋_GB2312"/>
          <w:color w:val="000000"/>
          <w:sz w:val="32"/>
          <w:szCs w:val="32"/>
        </w:rPr>
        <w:t>公示无异议的拟聘人员，按规定办理聘用相关手续，招聘人员为编外合同制人员，实行试用期制，试用期为</w:t>
      </w:r>
      <w:r>
        <w:rPr>
          <w:rFonts w:eastAsia="仿宋_GB2312"/>
          <w:color w:val="000000"/>
          <w:sz w:val="32"/>
          <w:szCs w:val="32"/>
        </w:rPr>
        <w:t>6</w:t>
      </w:r>
      <w:r>
        <w:rPr>
          <w:rFonts w:hint="eastAsia" w:eastAsia="仿宋_GB2312"/>
          <w:color w:val="000000"/>
          <w:sz w:val="32"/>
          <w:szCs w:val="32"/>
        </w:rPr>
        <w:t>个月，试用期满考核合格的，与市住房公积金管理中心签订聘用合同，予以正式聘用</w:t>
      </w:r>
      <w:r>
        <w:rPr>
          <w:rFonts w:hint="eastAsia" w:eastAsia="仿宋_GB2312"/>
          <w:color w:val="000000"/>
          <w:sz w:val="32"/>
          <w:szCs w:val="32"/>
          <w:lang w:eastAsia="zh-CN"/>
        </w:rPr>
        <w:t>；试用期满考核不合格的，取消聘用资格。首次聘用时间期限为</w:t>
      </w:r>
      <w:r>
        <w:rPr>
          <w:rFonts w:hint="eastAsia" w:eastAsia="仿宋_GB2312"/>
          <w:color w:val="000000"/>
          <w:sz w:val="32"/>
          <w:szCs w:val="32"/>
          <w:lang w:val="en-US" w:eastAsia="zh-CN"/>
        </w:rPr>
        <w:t>3年（包括试用期6个月），原则上3年内不得调动。对于工作业绩突出用人单位根据工作需要，聘用期满后可续签合同。</w:t>
      </w:r>
    </w:p>
    <w:p>
      <w:pPr>
        <w:spacing w:line="560" w:lineRule="exact"/>
        <w:ind w:firstLine="640" w:firstLineChars="200"/>
        <w:rPr>
          <w:rFonts w:eastAsia="仿宋_GB2312"/>
          <w:b/>
          <w:color w:val="000000"/>
          <w:sz w:val="32"/>
          <w:szCs w:val="32"/>
        </w:rPr>
      </w:pPr>
      <w:r>
        <w:rPr>
          <w:rFonts w:hint="eastAsia" w:eastAsia="仿宋_GB2312"/>
          <w:color w:val="000000"/>
          <w:sz w:val="32"/>
          <w:szCs w:val="32"/>
        </w:rPr>
        <w:t>正式聘用人员</w:t>
      </w:r>
      <w:r>
        <w:rPr>
          <w:rFonts w:hint="eastAsia" w:eastAsia="仿宋_GB2312"/>
          <w:color w:val="000000"/>
          <w:sz w:val="32"/>
          <w:szCs w:val="32"/>
          <w:lang w:eastAsia="zh-CN"/>
        </w:rPr>
        <w:t>实行同工同酬</w:t>
      </w:r>
      <w:r>
        <w:rPr>
          <w:rFonts w:hint="eastAsia" w:eastAsia="仿宋_GB2312"/>
          <w:color w:val="000000"/>
          <w:sz w:val="32"/>
          <w:szCs w:val="32"/>
        </w:rPr>
        <w:t>。</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eastAsia="zh-CN"/>
        </w:rPr>
        <w:t>六</w:t>
      </w:r>
      <w:r>
        <w:rPr>
          <w:rFonts w:hint="eastAsia" w:ascii="黑体" w:hAnsi="黑体" w:eastAsia="黑体"/>
          <w:color w:val="000000"/>
          <w:sz w:val="32"/>
          <w:szCs w:val="32"/>
        </w:rPr>
        <w:t>、其他</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（一）本次公开招聘工作接受纪检及社会各界的监督，坚决杜绝弄虚作假、徇私舞弊现象发生，确保招聘工作的公平公正。</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（二）监督举报投诉电话：</w:t>
      </w:r>
      <w:r>
        <w:rPr>
          <w:rFonts w:eastAsia="仿宋_GB2312"/>
          <w:color w:val="000000"/>
          <w:sz w:val="32"/>
          <w:szCs w:val="32"/>
        </w:rPr>
        <w:t>0739</w:t>
      </w:r>
      <w:r>
        <w:rPr>
          <w:rFonts w:hint="eastAsia" w:eastAsia="仿宋_GB2312"/>
          <w:color w:val="000000"/>
          <w:sz w:val="32"/>
          <w:szCs w:val="32"/>
        </w:rPr>
        <w:t>－</w:t>
      </w:r>
      <w:r>
        <w:rPr>
          <w:rFonts w:hint="eastAsia" w:eastAsia="仿宋_GB2312"/>
          <w:color w:val="000000"/>
          <w:sz w:val="32"/>
          <w:szCs w:val="32"/>
          <w:lang w:val="en-US" w:eastAsia="zh-CN"/>
        </w:rPr>
        <w:t>5358728</w:t>
      </w:r>
      <w:r>
        <w:rPr>
          <w:rFonts w:hint="eastAsia" w:eastAsia="仿宋_GB2312"/>
          <w:color w:val="000000"/>
          <w:sz w:val="32"/>
          <w:szCs w:val="32"/>
        </w:rPr>
        <w:t>；考试咨询电话：</w:t>
      </w:r>
      <w:r>
        <w:rPr>
          <w:rFonts w:eastAsia="仿宋_GB2312"/>
          <w:color w:val="000000"/>
          <w:sz w:val="32"/>
          <w:szCs w:val="32"/>
        </w:rPr>
        <w:t>0739</w:t>
      </w:r>
      <w:r>
        <w:rPr>
          <w:rFonts w:hint="eastAsia" w:eastAsia="仿宋_GB2312"/>
          <w:color w:val="000000"/>
          <w:sz w:val="32"/>
          <w:szCs w:val="32"/>
        </w:rPr>
        <w:t>－</w:t>
      </w:r>
      <w:r>
        <w:rPr>
          <w:rFonts w:eastAsia="仿宋_GB2312"/>
          <w:color w:val="000000"/>
          <w:sz w:val="32"/>
          <w:szCs w:val="32"/>
        </w:rPr>
        <w:t>5086333</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hint="eastAsia" w:eastAsia="仿宋_GB2312"/>
          <w:color w:val="000000"/>
          <w:sz w:val="32"/>
          <w:szCs w:val="32"/>
          <w:lang w:eastAsia="zh-CN"/>
        </w:rPr>
        <w:t>三</w:t>
      </w:r>
      <w:r>
        <w:rPr>
          <w:rFonts w:hint="eastAsia" w:eastAsia="仿宋_GB2312"/>
          <w:color w:val="000000"/>
          <w:sz w:val="32"/>
          <w:szCs w:val="32"/>
        </w:rPr>
        <w:t>）本</w:t>
      </w:r>
      <w:r>
        <w:rPr>
          <w:rFonts w:hint="eastAsia" w:eastAsia="仿宋_GB2312"/>
          <w:color w:val="000000"/>
          <w:sz w:val="32"/>
          <w:szCs w:val="32"/>
          <w:lang w:eastAsia="zh-CN"/>
        </w:rPr>
        <w:t>《</w:t>
      </w:r>
      <w:r>
        <w:rPr>
          <w:rFonts w:hint="eastAsia" w:eastAsia="仿宋_GB2312"/>
          <w:color w:val="000000"/>
          <w:sz w:val="32"/>
          <w:szCs w:val="32"/>
        </w:rPr>
        <w:t>公告</w:t>
      </w:r>
      <w:r>
        <w:rPr>
          <w:rFonts w:hint="eastAsia" w:eastAsia="仿宋_GB2312"/>
          <w:color w:val="000000"/>
          <w:sz w:val="32"/>
          <w:szCs w:val="32"/>
          <w:lang w:eastAsia="zh-CN"/>
        </w:rPr>
        <w:t>》</w:t>
      </w:r>
      <w:r>
        <w:rPr>
          <w:rFonts w:hint="eastAsia" w:eastAsia="仿宋_GB2312"/>
          <w:color w:val="000000"/>
          <w:sz w:val="32"/>
          <w:szCs w:val="32"/>
        </w:rPr>
        <w:t>由</w:t>
      </w:r>
      <w:r>
        <w:rPr>
          <w:rFonts w:hint="eastAsia" w:ascii="仿宋_GB2312" w:eastAsia="仿宋_GB2312"/>
          <w:color w:val="000000"/>
          <w:sz w:val="32"/>
          <w:szCs w:val="32"/>
        </w:rPr>
        <w:t>邵阳市住房公积金管理中心</w:t>
      </w:r>
      <w:r>
        <w:rPr>
          <w:rFonts w:hint="eastAsia" w:eastAsia="仿宋_GB2312"/>
          <w:color w:val="000000"/>
          <w:sz w:val="32"/>
          <w:szCs w:val="32"/>
        </w:rPr>
        <w:t>负责解释。</w:t>
      </w:r>
      <w:r>
        <w:rPr>
          <w:rFonts w:eastAsia="仿宋_GB2312"/>
          <w:color w:val="000000"/>
          <w:sz w:val="32"/>
          <w:szCs w:val="32"/>
        </w:rPr>
        <w:t xml:space="preserve">                              </w:t>
      </w:r>
    </w:p>
    <w:p>
      <w:pPr>
        <w:spacing w:line="560" w:lineRule="exact"/>
        <w:ind w:firstLine="640" w:firstLineChars="200"/>
        <w:rPr>
          <w:rFonts w:eastAsia="仿宋_GB2312"/>
          <w:color w:val="000000"/>
          <w:sz w:val="32"/>
          <w:szCs w:val="32"/>
        </w:rPr>
      </w:pPr>
      <w:r>
        <w:rPr>
          <w:rFonts w:hint="eastAsia" w:eastAsia="仿宋_GB2312"/>
          <w:color w:val="000000"/>
          <w:sz w:val="32"/>
          <w:szCs w:val="32"/>
        </w:rPr>
        <w:t>附件：《邵阳市住房公积金管理中心公开招聘人员报名表》</w:t>
      </w:r>
    </w:p>
    <w:p>
      <w:pPr>
        <w:spacing w:line="560" w:lineRule="exact"/>
        <w:ind w:right="480" w:firstLine="640" w:firstLineChars="200"/>
        <w:jc w:val="right"/>
        <w:rPr>
          <w:rFonts w:eastAsia="仿宋_GB2312"/>
          <w:color w:val="000000"/>
          <w:sz w:val="32"/>
          <w:szCs w:val="32"/>
        </w:rPr>
      </w:pPr>
      <w:r>
        <w:rPr>
          <w:rFonts w:eastAsia="仿宋_GB2312"/>
          <w:color w:val="000000"/>
          <w:sz w:val="32"/>
          <w:szCs w:val="32"/>
        </w:rPr>
        <w:t xml:space="preserve">   </w:t>
      </w:r>
    </w:p>
    <w:p>
      <w:pPr>
        <w:spacing w:line="560" w:lineRule="exact"/>
        <w:ind w:right="480" w:firstLine="640" w:firstLineChars="200"/>
        <w:jc w:val="right"/>
        <w:rPr>
          <w:rFonts w:eastAsia="仿宋_GB2312"/>
          <w:color w:val="000000"/>
          <w:sz w:val="32"/>
          <w:szCs w:val="32"/>
        </w:rPr>
      </w:pPr>
      <w:r>
        <w:rPr>
          <w:rFonts w:hint="eastAsia" w:eastAsia="仿宋_GB2312"/>
          <w:color w:val="000000"/>
          <w:sz w:val="32"/>
          <w:szCs w:val="32"/>
        </w:rPr>
        <w:t>邵阳市住房公积金管理中心</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                           2017</w:t>
      </w:r>
      <w:r>
        <w:rPr>
          <w:rFonts w:hint="eastAsia" w:eastAsia="仿宋_GB2312"/>
          <w:color w:val="000000"/>
          <w:sz w:val="32"/>
          <w:szCs w:val="32"/>
        </w:rPr>
        <w:t>年</w:t>
      </w:r>
      <w:r>
        <w:rPr>
          <w:rFonts w:hint="eastAsia" w:eastAsia="仿宋_GB2312"/>
          <w:color w:val="000000"/>
          <w:sz w:val="32"/>
          <w:szCs w:val="32"/>
          <w:lang w:val="en-US" w:eastAsia="zh-CN"/>
        </w:rPr>
        <w:t>10</w:t>
      </w:r>
      <w:r>
        <w:rPr>
          <w:rFonts w:hint="eastAsia" w:eastAsia="仿宋_GB2312"/>
          <w:color w:val="000000"/>
          <w:sz w:val="32"/>
          <w:szCs w:val="32"/>
        </w:rPr>
        <w:t>月</w:t>
      </w:r>
      <w:r>
        <w:rPr>
          <w:rFonts w:hint="eastAsia" w:eastAsia="仿宋_GB2312"/>
          <w:color w:val="000000"/>
          <w:sz w:val="32"/>
          <w:szCs w:val="32"/>
          <w:lang w:val="en-US" w:eastAsia="zh-CN"/>
        </w:rPr>
        <w:t>9</w:t>
      </w:r>
      <w:r>
        <w:rPr>
          <w:rFonts w:hint="eastAsia" w:eastAsia="仿宋_GB2312"/>
          <w:color w:val="000000"/>
          <w:sz w:val="32"/>
          <w:szCs w:val="32"/>
        </w:rPr>
        <w:t>日</w:t>
      </w: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hint="eastAsia" w:eastAsia="仿宋_GB2312"/>
          <w:color w:val="000000"/>
          <w:sz w:val="32"/>
          <w:szCs w:val="32"/>
        </w:rPr>
      </w:pPr>
    </w:p>
    <w:p>
      <w:pPr>
        <w:spacing w:line="560" w:lineRule="exact"/>
        <w:jc w:val="left"/>
        <w:rPr>
          <w:rFonts w:ascii="方正大标宋简体" w:hAnsi="仿宋" w:eastAsia="方正大标宋简体"/>
          <w:color w:val="000000"/>
          <w:sz w:val="36"/>
          <w:szCs w:val="36"/>
        </w:rPr>
      </w:pPr>
      <w:r>
        <w:rPr>
          <w:rFonts w:hint="eastAsia" w:eastAsia="仿宋_GB2312"/>
          <w:color w:val="000000"/>
          <w:sz w:val="32"/>
          <w:szCs w:val="32"/>
        </w:rPr>
        <w:t>附件：</w:t>
      </w:r>
    </w:p>
    <w:p>
      <w:pPr>
        <w:spacing w:line="560" w:lineRule="exact"/>
        <w:jc w:val="center"/>
        <w:rPr>
          <w:rFonts w:ascii="方正大标宋简体" w:hAnsi="仿宋" w:eastAsia="方正大标宋简体"/>
          <w:color w:val="000000"/>
          <w:sz w:val="36"/>
          <w:szCs w:val="36"/>
        </w:rPr>
      </w:pPr>
      <w:r>
        <w:rPr>
          <w:rFonts w:hint="eastAsia" w:ascii="方正大标宋简体" w:hAnsi="仿宋" w:eastAsia="方正大标宋简体"/>
          <w:color w:val="000000"/>
          <w:sz w:val="36"/>
          <w:szCs w:val="36"/>
        </w:rPr>
        <w:t>邵阳市住房公积金管理中心公开招聘人员报名表</w:t>
      </w:r>
    </w:p>
    <w:tbl>
      <w:tblPr>
        <w:tblStyle w:val="9"/>
        <w:tblW w:w="9104" w:type="dxa"/>
        <w:tblInd w:w="-2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426"/>
        <w:gridCol w:w="574"/>
        <w:gridCol w:w="6"/>
        <w:gridCol w:w="1796"/>
        <w:gridCol w:w="1098"/>
        <w:gridCol w:w="637"/>
        <w:gridCol w:w="86"/>
        <w:gridCol w:w="121"/>
        <w:gridCol w:w="1165"/>
        <w:gridCol w:w="1205"/>
        <w:gridCol w:w="233"/>
        <w:gridCol w:w="6"/>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280" w:hRule="atLeast"/>
        </w:trPr>
        <w:tc>
          <w:tcPr>
            <w:tcW w:w="9104" w:type="dxa"/>
            <w:gridSpan w:val="13"/>
            <w:tcBorders>
              <w:top w:val="nil"/>
              <w:bottom w:val="single" w:color="auto" w:sz="6" w:space="0"/>
            </w:tcBorders>
            <w:vAlign w:val="bottom"/>
          </w:tcPr>
          <w:p>
            <w:pPr>
              <w:autoSpaceDE w:val="0"/>
              <w:autoSpaceDN w:val="0"/>
              <w:adjustRightInd w:val="0"/>
              <w:spacing w:line="480" w:lineRule="exact"/>
              <w:ind w:firstLine="160" w:firstLineChars="50"/>
              <w:rPr>
                <w:rFonts w:ascii="仿宋_GB2312" w:hAnsi="仿宋" w:eastAsia="仿宋_GB2312"/>
                <w:color w:val="000000"/>
                <w:sz w:val="32"/>
                <w:szCs w:val="32"/>
              </w:rPr>
            </w:pPr>
            <w:r>
              <w:rPr>
                <w:rFonts w:hint="eastAsia" w:ascii="仿宋_GB2312" w:hAnsi="仿宋" w:eastAsia="仿宋_GB2312"/>
                <w:color w:val="000000"/>
                <w:sz w:val="32"/>
                <w:szCs w:val="32"/>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377"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180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0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性</w:t>
            </w:r>
            <w:r>
              <w:rPr>
                <w:rFonts w:ascii="宋体" w:hAnsi="宋体"/>
                <w:color w:val="000000"/>
                <w:szCs w:val="21"/>
              </w:rPr>
              <w:t xml:space="preserve">  </w:t>
            </w:r>
            <w:r>
              <w:rPr>
                <w:rFonts w:hint="eastAsia" w:ascii="宋体" w:hAnsi="宋体"/>
                <w:color w:val="000000"/>
                <w:szCs w:val="21"/>
              </w:rPr>
              <w:t>别</w:t>
            </w:r>
          </w:p>
        </w:tc>
        <w:tc>
          <w:tcPr>
            <w:tcW w:w="8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民</w:t>
            </w:r>
            <w:r>
              <w:rPr>
                <w:rFonts w:ascii="宋体" w:hAnsi="宋体"/>
                <w:color w:val="000000"/>
                <w:szCs w:val="21"/>
              </w:rPr>
              <w:t xml:space="preserve">   </w:t>
            </w:r>
            <w:r>
              <w:rPr>
                <w:rFonts w:hint="eastAsia" w:ascii="宋体" w:hAnsi="宋体"/>
                <w:color w:val="000000"/>
                <w:szCs w:val="21"/>
              </w:rPr>
              <w:t>族</w:t>
            </w:r>
          </w:p>
        </w:tc>
        <w:tc>
          <w:tcPr>
            <w:tcW w:w="1444"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751"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p>
            <w:pPr>
              <w:autoSpaceDE w:val="0"/>
              <w:autoSpaceDN w:val="0"/>
              <w:adjustRightInd w:val="0"/>
              <w:spacing w:line="280" w:lineRule="exact"/>
              <w:jc w:val="center"/>
              <w:rPr>
                <w:rFonts w:ascii="宋体"/>
                <w:color w:val="000000"/>
                <w:szCs w:val="21"/>
              </w:rPr>
            </w:pPr>
            <w:r>
              <w:rPr>
                <w:rFonts w:hint="eastAsia" w:ascii="宋体" w:hAnsi="宋体"/>
                <w:color w:val="000000"/>
                <w:szCs w:val="21"/>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35"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出生年月</w:t>
            </w:r>
          </w:p>
        </w:tc>
        <w:tc>
          <w:tcPr>
            <w:tcW w:w="1802"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098"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政治面貌</w:t>
            </w:r>
          </w:p>
        </w:tc>
        <w:tc>
          <w:tcPr>
            <w:tcW w:w="844"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学历学位</w:t>
            </w:r>
          </w:p>
        </w:tc>
        <w:tc>
          <w:tcPr>
            <w:tcW w:w="14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751"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29"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毕业院校（本科）</w:t>
            </w:r>
          </w:p>
        </w:tc>
        <w:tc>
          <w:tcPr>
            <w:tcW w:w="1802"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098"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毕业时间</w:t>
            </w:r>
          </w:p>
        </w:tc>
        <w:tc>
          <w:tcPr>
            <w:tcW w:w="844"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所学专业</w:t>
            </w:r>
          </w:p>
        </w:tc>
        <w:tc>
          <w:tcPr>
            <w:tcW w:w="1444"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751" w:type="dxa"/>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29"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毕业院校（研究生）</w:t>
            </w:r>
          </w:p>
        </w:tc>
        <w:tc>
          <w:tcPr>
            <w:tcW w:w="3744"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所学专业</w:t>
            </w:r>
          </w:p>
        </w:tc>
        <w:tc>
          <w:tcPr>
            <w:tcW w:w="1444"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751" w:type="dxa"/>
            <w:vMerge w:val="restart"/>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21" w:hRule="atLeast"/>
        </w:trPr>
        <w:tc>
          <w:tcPr>
            <w:tcW w:w="2802"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职称、执（职）业资格</w:t>
            </w:r>
          </w:p>
        </w:tc>
        <w:tc>
          <w:tcPr>
            <w:tcW w:w="1942"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取得时间</w:t>
            </w:r>
          </w:p>
        </w:tc>
        <w:tc>
          <w:tcPr>
            <w:tcW w:w="1444"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751"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21"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户</w:t>
            </w:r>
            <w:r>
              <w:rPr>
                <w:rFonts w:ascii="宋体" w:hAnsi="宋体"/>
                <w:color w:val="000000"/>
                <w:szCs w:val="21"/>
              </w:rPr>
              <w:t xml:space="preserve">  </w:t>
            </w:r>
            <w:r>
              <w:rPr>
                <w:rFonts w:hint="eastAsia" w:ascii="宋体" w:hAnsi="宋体"/>
                <w:color w:val="000000"/>
                <w:szCs w:val="21"/>
              </w:rPr>
              <w:t>籍</w:t>
            </w:r>
          </w:p>
          <w:p>
            <w:pPr>
              <w:autoSpaceDE w:val="0"/>
              <w:autoSpaceDN w:val="0"/>
              <w:adjustRightInd w:val="0"/>
              <w:spacing w:line="280" w:lineRule="exact"/>
              <w:jc w:val="center"/>
              <w:rPr>
                <w:rFonts w:ascii="宋体"/>
                <w:color w:val="000000"/>
                <w:szCs w:val="21"/>
              </w:rPr>
            </w:pPr>
            <w:r>
              <w:rPr>
                <w:rFonts w:hint="eastAsia" w:ascii="宋体" w:hAnsi="宋体"/>
                <w:color w:val="000000"/>
                <w:szCs w:val="21"/>
              </w:rPr>
              <w:t>所在地</w:t>
            </w:r>
          </w:p>
        </w:tc>
        <w:tc>
          <w:tcPr>
            <w:tcW w:w="1802"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098"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婚姻状况</w:t>
            </w:r>
          </w:p>
        </w:tc>
        <w:tc>
          <w:tcPr>
            <w:tcW w:w="844"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olor w:val="000000"/>
                <w:szCs w:val="21"/>
              </w:rPr>
            </w:pPr>
            <w:r>
              <w:rPr>
                <w:rFonts w:hint="eastAsia" w:ascii="宋体" w:hAnsi="宋体"/>
                <w:color w:val="000000"/>
                <w:szCs w:val="21"/>
              </w:rPr>
              <w:t>档案保</w:t>
            </w:r>
          </w:p>
          <w:p>
            <w:pPr>
              <w:autoSpaceDE w:val="0"/>
              <w:autoSpaceDN w:val="0"/>
              <w:adjustRightInd w:val="0"/>
              <w:spacing w:line="280" w:lineRule="exact"/>
              <w:ind w:left="180"/>
              <w:jc w:val="center"/>
              <w:rPr>
                <w:rFonts w:ascii="宋体"/>
                <w:color w:val="000000"/>
                <w:szCs w:val="21"/>
              </w:rPr>
            </w:pPr>
            <w:r>
              <w:rPr>
                <w:rFonts w:hint="eastAsia" w:ascii="宋体" w:hAnsi="宋体"/>
                <w:color w:val="000000"/>
                <w:szCs w:val="21"/>
              </w:rPr>
              <w:t>管单位</w:t>
            </w:r>
          </w:p>
        </w:tc>
        <w:tc>
          <w:tcPr>
            <w:tcW w:w="1438"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757"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43" w:hRule="atLeast"/>
        </w:trPr>
        <w:tc>
          <w:tcPr>
            <w:tcW w:w="100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身份证号</w:t>
            </w:r>
          </w:p>
        </w:tc>
        <w:tc>
          <w:tcPr>
            <w:tcW w:w="3738"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16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有何特长</w:t>
            </w:r>
          </w:p>
        </w:tc>
        <w:tc>
          <w:tcPr>
            <w:tcW w:w="319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87"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通讯地址</w:t>
            </w:r>
          </w:p>
        </w:tc>
        <w:tc>
          <w:tcPr>
            <w:tcW w:w="4909" w:type="dxa"/>
            <w:gridSpan w:val="7"/>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120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邮政编码</w:t>
            </w:r>
          </w:p>
        </w:tc>
        <w:tc>
          <w:tcPr>
            <w:tcW w:w="199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87" w:hRule="atLeast"/>
        </w:trPr>
        <w:tc>
          <w:tcPr>
            <w:tcW w:w="10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hAnsi="宋体"/>
                <w:color w:val="000000"/>
                <w:szCs w:val="21"/>
              </w:rPr>
              <w:t>联系电话</w:t>
            </w:r>
          </w:p>
        </w:tc>
        <w:tc>
          <w:tcPr>
            <w:tcW w:w="353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37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ascii="宋体" w:hAnsi="宋体" w:cs="Arial Unicode MS"/>
                <w:color w:val="000000"/>
                <w:szCs w:val="21"/>
              </w:rPr>
              <w:t>E-mail</w:t>
            </w:r>
          </w:p>
        </w:tc>
        <w:tc>
          <w:tcPr>
            <w:tcW w:w="1205" w:type="dxa"/>
            <w:tcBorders>
              <w:top w:val="single" w:color="auto" w:sz="6" w:space="0"/>
              <w:left w:val="single" w:color="auto" w:sz="6" w:space="0"/>
              <w:bottom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990" w:type="dxa"/>
            <w:gridSpan w:val="3"/>
            <w:tcBorders>
              <w:top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2705" w:hRule="atLeast"/>
        </w:trPr>
        <w:tc>
          <w:tcPr>
            <w:tcW w:w="426" w:type="dxa"/>
            <w:tcBorders>
              <w:top w:val="single" w:color="auto" w:sz="6"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个</w:t>
            </w:r>
          </w:p>
          <w:p>
            <w:pPr>
              <w:autoSpaceDE w:val="0"/>
              <w:autoSpaceDN w:val="0"/>
              <w:adjustRightInd w:val="0"/>
              <w:spacing w:line="280" w:lineRule="exact"/>
              <w:jc w:val="center"/>
              <w:rPr>
                <w:rFonts w:ascii="宋体"/>
                <w:color w:val="000000"/>
                <w:szCs w:val="21"/>
              </w:rPr>
            </w:pPr>
          </w:p>
          <w:p>
            <w:pPr>
              <w:autoSpaceDE w:val="0"/>
              <w:autoSpaceDN w:val="0"/>
              <w:adjustRightInd w:val="0"/>
              <w:spacing w:line="280" w:lineRule="exact"/>
              <w:jc w:val="center"/>
              <w:rPr>
                <w:rFonts w:ascii="宋体"/>
                <w:color w:val="000000"/>
                <w:szCs w:val="21"/>
              </w:rPr>
            </w:pPr>
            <w:r>
              <w:rPr>
                <w:rFonts w:hint="eastAsia" w:ascii="宋体"/>
                <w:color w:val="000000"/>
                <w:szCs w:val="21"/>
              </w:rPr>
              <w:t>人</w:t>
            </w:r>
          </w:p>
          <w:p>
            <w:pPr>
              <w:autoSpaceDE w:val="0"/>
              <w:autoSpaceDN w:val="0"/>
              <w:adjustRightInd w:val="0"/>
              <w:spacing w:line="280" w:lineRule="exact"/>
              <w:jc w:val="center"/>
              <w:rPr>
                <w:rFonts w:ascii="宋体"/>
                <w:color w:val="000000"/>
                <w:szCs w:val="21"/>
              </w:rPr>
            </w:pPr>
          </w:p>
          <w:p>
            <w:pPr>
              <w:autoSpaceDE w:val="0"/>
              <w:autoSpaceDN w:val="0"/>
              <w:adjustRightInd w:val="0"/>
              <w:spacing w:line="280" w:lineRule="exact"/>
              <w:jc w:val="center"/>
              <w:rPr>
                <w:rFonts w:ascii="宋体"/>
                <w:color w:val="000000"/>
                <w:szCs w:val="21"/>
              </w:rPr>
            </w:pPr>
            <w:r>
              <w:rPr>
                <w:rFonts w:hint="eastAsia" w:ascii="宋体"/>
                <w:color w:val="000000"/>
                <w:szCs w:val="21"/>
              </w:rPr>
              <w:t>简</w:t>
            </w:r>
          </w:p>
          <w:p>
            <w:pPr>
              <w:autoSpaceDE w:val="0"/>
              <w:autoSpaceDN w:val="0"/>
              <w:adjustRightInd w:val="0"/>
              <w:spacing w:line="280" w:lineRule="exact"/>
              <w:jc w:val="center"/>
              <w:rPr>
                <w:rFonts w:ascii="宋体"/>
                <w:color w:val="000000"/>
                <w:szCs w:val="21"/>
              </w:rPr>
            </w:pPr>
          </w:p>
          <w:p>
            <w:pPr>
              <w:autoSpaceDE w:val="0"/>
              <w:autoSpaceDN w:val="0"/>
              <w:adjustRightInd w:val="0"/>
              <w:spacing w:line="280" w:lineRule="exact"/>
              <w:jc w:val="center"/>
              <w:rPr>
                <w:rFonts w:ascii="宋体"/>
                <w:color w:val="000000"/>
                <w:szCs w:val="21"/>
              </w:rPr>
            </w:pPr>
            <w:r>
              <w:rPr>
                <w:rFonts w:hint="eastAsia" w:ascii="宋体"/>
                <w:color w:val="000000"/>
                <w:szCs w:val="21"/>
              </w:rPr>
              <w:t>历</w:t>
            </w:r>
          </w:p>
          <w:p>
            <w:pPr>
              <w:autoSpaceDE w:val="0"/>
              <w:autoSpaceDN w:val="0"/>
              <w:adjustRightInd w:val="0"/>
              <w:spacing w:line="280" w:lineRule="exact"/>
              <w:rPr>
                <w:rFonts w:ascii="宋体"/>
                <w:color w:val="000000"/>
                <w:szCs w:val="21"/>
              </w:rPr>
            </w:pPr>
          </w:p>
        </w:tc>
        <w:tc>
          <w:tcPr>
            <w:tcW w:w="8678" w:type="dxa"/>
            <w:gridSpan w:val="12"/>
            <w:tcBorders>
              <w:top w:val="single" w:color="auto" w:sz="6" w:space="0"/>
              <w:left w:val="single" w:color="auto" w:sz="4" w:space="0"/>
              <w:right w:val="single" w:color="auto" w:sz="4" w:space="0"/>
            </w:tcBorders>
            <w:vAlign w:val="center"/>
          </w:tcPr>
          <w:p>
            <w:pPr>
              <w:autoSpaceDE w:val="0"/>
              <w:autoSpaceDN w:val="0"/>
              <w:adjustRightInd w:val="0"/>
              <w:spacing w:line="280" w:lineRule="exact"/>
              <w:rPr>
                <w:rFonts w:asci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2842" w:hRule="atLeast"/>
        </w:trPr>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应</w:t>
            </w:r>
          </w:p>
          <w:p>
            <w:pPr>
              <w:autoSpaceDE w:val="0"/>
              <w:autoSpaceDN w:val="0"/>
              <w:adjustRightInd w:val="0"/>
              <w:spacing w:line="280" w:lineRule="exact"/>
              <w:jc w:val="center"/>
              <w:rPr>
                <w:rFonts w:ascii="宋体"/>
                <w:color w:val="000000"/>
                <w:szCs w:val="21"/>
              </w:rPr>
            </w:pPr>
            <w:r>
              <w:rPr>
                <w:rFonts w:hint="eastAsia" w:ascii="宋体"/>
                <w:color w:val="000000"/>
                <w:szCs w:val="21"/>
              </w:rPr>
              <w:t>聘</w:t>
            </w:r>
          </w:p>
          <w:p>
            <w:pPr>
              <w:autoSpaceDE w:val="0"/>
              <w:autoSpaceDN w:val="0"/>
              <w:adjustRightInd w:val="0"/>
              <w:spacing w:line="280" w:lineRule="exact"/>
              <w:jc w:val="center"/>
              <w:rPr>
                <w:rFonts w:ascii="宋体"/>
                <w:color w:val="000000"/>
                <w:szCs w:val="21"/>
              </w:rPr>
            </w:pPr>
            <w:r>
              <w:rPr>
                <w:rFonts w:hint="eastAsia" w:ascii="宋体"/>
                <w:color w:val="000000"/>
                <w:szCs w:val="21"/>
              </w:rPr>
              <w:t>人</w:t>
            </w:r>
          </w:p>
          <w:p>
            <w:pPr>
              <w:autoSpaceDE w:val="0"/>
              <w:autoSpaceDN w:val="0"/>
              <w:adjustRightInd w:val="0"/>
              <w:spacing w:line="280" w:lineRule="exact"/>
              <w:jc w:val="center"/>
              <w:rPr>
                <w:rFonts w:ascii="宋体"/>
                <w:color w:val="000000"/>
                <w:szCs w:val="21"/>
              </w:rPr>
            </w:pPr>
            <w:r>
              <w:rPr>
                <w:rFonts w:hint="eastAsia" w:ascii="宋体"/>
                <w:color w:val="000000"/>
                <w:szCs w:val="21"/>
              </w:rPr>
              <w:t>员</w:t>
            </w:r>
          </w:p>
          <w:p>
            <w:pPr>
              <w:autoSpaceDE w:val="0"/>
              <w:autoSpaceDN w:val="0"/>
              <w:adjustRightInd w:val="0"/>
              <w:spacing w:line="280" w:lineRule="exact"/>
              <w:jc w:val="center"/>
              <w:rPr>
                <w:rFonts w:ascii="宋体"/>
                <w:color w:val="000000"/>
                <w:szCs w:val="21"/>
              </w:rPr>
            </w:pPr>
            <w:r>
              <w:rPr>
                <w:rFonts w:hint="eastAsia" w:ascii="宋体"/>
                <w:color w:val="000000"/>
                <w:szCs w:val="21"/>
              </w:rPr>
              <w:t>承</w:t>
            </w:r>
          </w:p>
          <w:p>
            <w:pPr>
              <w:autoSpaceDE w:val="0"/>
              <w:autoSpaceDN w:val="0"/>
              <w:adjustRightInd w:val="0"/>
              <w:spacing w:line="280" w:lineRule="exact"/>
              <w:jc w:val="center"/>
              <w:rPr>
                <w:rFonts w:ascii="宋体"/>
                <w:color w:val="000000"/>
                <w:szCs w:val="21"/>
              </w:rPr>
            </w:pPr>
            <w:r>
              <w:rPr>
                <w:rFonts w:hint="eastAsia" w:ascii="宋体"/>
                <w:color w:val="000000"/>
                <w:szCs w:val="21"/>
              </w:rPr>
              <w:t>诺</w:t>
            </w:r>
          </w:p>
          <w:p>
            <w:pPr>
              <w:autoSpaceDE w:val="0"/>
              <w:autoSpaceDN w:val="0"/>
              <w:adjustRightInd w:val="0"/>
              <w:spacing w:line="280" w:lineRule="exact"/>
              <w:jc w:val="center"/>
              <w:rPr>
                <w:rFonts w:ascii="宋体"/>
                <w:color w:val="000000"/>
                <w:szCs w:val="21"/>
              </w:rPr>
            </w:pPr>
          </w:p>
        </w:tc>
        <w:tc>
          <w:tcPr>
            <w:tcW w:w="347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309" w:firstLineChars="147"/>
              <w:rPr>
                <w:rFonts w:ascii="楷体_GB2312" w:hAnsi="新宋体" w:eastAsia="楷体_GB2312"/>
                <w:b/>
                <w:color w:val="000000"/>
                <w:szCs w:val="21"/>
              </w:rPr>
            </w:pPr>
          </w:p>
          <w:p>
            <w:pPr>
              <w:autoSpaceDE w:val="0"/>
              <w:autoSpaceDN w:val="0"/>
              <w:adjustRightInd w:val="0"/>
              <w:spacing w:line="280" w:lineRule="exact"/>
              <w:ind w:firstLine="412" w:firstLineChars="196"/>
              <w:rPr>
                <w:rFonts w:ascii="楷体_GB2312" w:hAnsi="新宋体" w:eastAsia="楷体_GB2312"/>
                <w:b/>
                <w:color w:val="000000"/>
                <w:szCs w:val="21"/>
              </w:rPr>
            </w:pPr>
            <w:r>
              <w:rPr>
                <w:rFonts w:hint="eastAsia" w:ascii="楷体_GB2312" w:hAnsi="新宋体" w:eastAsia="楷体_GB2312"/>
                <w:b/>
                <w:color w:val="000000"/>
                <w:szCs w:val="21"/>
              </w:rPr>
              <w:t>本人承诺所提供的材料真实有效，符合应聘岗位所需的资格条件。如有弄虚作假，承诺自动放弃考试和聘用资格。</w:t>
            </w:r>
          </w:p>
          <w:p>
            <w:pPr>
              <w:autoSpaceDE w:val="0"/>
              <w:autoSpaceDN w:val="0"/>
              <w:adjustRightInd w:val="0"/>
              <w:spacing w:line="280" w:lineRule="exact"/>
              <w:ind w:firstLine="412" w:firstLineChars="196"/>
              <w:rPr>
                <w:rFonts w:ascii="楷体_GB2312" w:hAnsi="新宋体" w:eastAsia="楷体_GB2312"/>
                <w:b/>
                <w:color w:val="000000"/>
                <w:szCs w:val="21"/>
              </w:rPr>
            </w:pPr>
            <w:r>
              <w:rPr>
                <w:rFonts w:hint="eastAsia" w:ascii="楷体_GB2312" w:hAnsi="新宋体" w:eastAsia="楷体_GB2312"/>
                <w:b/>
                <w:color w:val="000000"/>
                <w:szCs w:val="21"/>
              </w:rPr>
              <w:t>应聘人签名：</w:t>
            </w:r>
          </w:p>
          <w:p>
            <w:pPr>
              <w:autoSpaceDE w:val="0"/>
              <w:autoSpaceDN w:val="0"/>
              <w:adjustRightInd w:val="0"/>
              <w:spacing w:line="280" w:lineRule="exact"/>
              <w:rPr>
                <w:rFonts w:ascii="楷体_GB2312" w:hAnsi="新宋体" w:eastAsia="楷体_GB2312"/>
                <w:b/>
                <w:color w:val="000000"/>
                <w:szCs w:val="21"/>
              </w:rPr>
            </w:pPr>
          </w:p>
          <w:p>
            <w:pPr>
              <w:autoSpaceDE w:val="0"/>
              <w:autoSpaceDN w:val="0"/>
              <w:adjustRightInd w:val="0"/>
              <w:spacing w:line="280" w:lineRule="exact"/>
              <w:ind w:firstLine="1330" w:firstLineChars="633"/>
              <w:rPr>
                <w:rFonts w:ascii="楷体_GB2312" w:hAnsi="新宋体" w:eastAsia="楷体_GB2312"/>
                <w:b/>
                <w:color w:val="000000"/>
                <w:szCs w:val="21"/>
              </w:rPr>
            </w:pPr>
            <w:r>
              <w:rPr>
                <w:rFonts w:hint="eastAsia" w:ascii="楷体_GB2312" w:hAnsi="新宋体" w:eastAsia="楷体_GB2312"/>
                <w:b/>
                <w:color w:val="000000"/>
                <w:szCs w:val="21"/>
              </w:rPr>
              <w:t>年</w:t>
            </w:r>
            <w:r>
              <w:rPr>
                <w:rFonts w:ascii="楷体_GB2312" w:hAnsi="新宋体" w:eastAsia="楷体_GB2312"/>
                <w:b/>
                <w:color w:val="000000"/>
                <w:szCs w:val="21"/>
              </w:rPr>
              <w:t xml:space="preserve">    </w:t>
            </w:r>
            <w:r>
              <w:rPr>
                <w:rFonts w:hint="eastAsia" w:ascii="楷体_GB2312" w:hAnsi="新宋体" w:eastAsia="楷体_GB2312"/>
                <w:b/>
                <w:color w:val="000000"/>
                <w:szCs w:val="21"/>
              </w:rPr>
              <w:t>月</w:t>
            </w:r>
            <w:r>
              <w:rPr>
                <w:rFonts w:ascii="楷体_GB2312" w:hAnsi="新宋体" w:eastAsia="楷体_GB2312"/>
                <w:b/>
                <w:color w:val="000000"/>
                <w:szCs w:val="21"/>
              </w:rPr>
              <w:t xml:space="preserve">    </w:t>
            </w:r>
            <w:r>
              <w:rPr>
                <w:rFonts w:hint="eastAsia" w:ascii="楷体_GB2312" w:hAnsi="新宋体" w:eastAsia="楷体_GB2312"/>
                <w:b/>
                <w:color w:val="000000"/>
                <w:szCs w:val="21"/>
              </w:rPr>
              <w:t>日</w:t>
            </w:r>
          </w:p>
          <w:p>
            <w:pPr>
              <w:autoSpaceDE w:val="0"/>
              <w:autoSpaceDN w:val="0"/>
              <w:adjustRightInd w:val="0"/>
              <w:spacing w:line="280" w:lineRule="exact"/>
              <w:ind w:left="5340"/>
              <w:rPr>
                <w:rFonts w:ascii="宋体"/>
                <w:color w:val="000000"/>
                <w:szCs w:val="21"/>
              </w:rPr>
            </w:pPr>
          </w:p>
        </w:tc>
        <w:tc>
          <w:tcPr>
            <w:tcW w:w="7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Cs w:val="21"/>
              </w:rPr>
            </w:pPr>
            <w:r>
              <w:rPr>
                <w:rFonts w:hint="eastAsia" w:ascii="宋体"/>
                <w:color w:val="000000"/>
                <w:szCs w:val="21"/>
              </w:rPr>
              <w:t>资</w:t>
            </w:r>
          </w:p>
          <w:p>
            <w:pPr>
              <w:widowControl/>
              <w:jc w:val="center"/>
              <w:rPr>
                <w:rFonts w:ascii="宋体"/>
                <w:color w:val="000000"/>
                <w:szCs w:val="21"/>
              </w:rPr>
            </w:pPr>
            <w:r>
              <w:rPr>
                <w:rFonts w:hint="eastAsia" w:ascii="宋体"/>
                <w:color w:val="000000"/>
                <w:szCs w:val="21"/>
              </w:rPr>
              <w:t>格</w:t>
            </w:r>
          </w:p>
          <w:p>
            <w:pPr>
              <w:widowControl/>
              <w:jc w:val="center"/>
              <w:rPr>
                <w:rFonts w:ascii="宋体"/>
                <w:color w:val="000000"/>
                <w:szCs w:val="21"/>
              </w:rPr>
            </w:pPr>
            <w:r>
              <w:rPr>
                <w:rFonts w:hint="eastAsia" w:ascii="宋体"/>
                <w:color w:val="000000"/>
                <w:szCs w:val="21"/>
              </w:rPr>
              <w:t>审</w:t>
            </w:r>
          </w:p>
          <w:p>
            <w:pPr>
              <w:widowControl/>
              <w:jc w:val="center"/>
              <w:rPr>
                <w:rFonts w:ascii="宋体"/>
                <w:color w:val="000000"/>
                <w:szCs w:val="21"/>
              </w:rPr>
            </w:pPr>
            <w:r>
              <w:rPr>
                <w:rFonts w:hint="eastAsia" w:ascii="宋体"/>
                <w:color w:val="000000"/>
                <w:szCs w:val="21"/>
              </w:rPr>
              <w:t>查</w:t>
            </w:r>
          </w:p>
          <w:p>
            <w:pPr>
              <w:widowControl/>
              <w:jc w:val="center"/>
              <w:rPr>
                <w:rFonts w:ascii="宋体"/>
                <w:color w:val="000000"/>
                <w:szCs w:val="21"/>
              </w:rPr>
            </w:pPr>
            <w:r>
              <w:rPr>
                <w:rFonts w:hint="eastAsia" w:ascii="宋体"/>
                <w:color w:val="000000"/>
                <w:szCs w:val="21"/>
              </w:rPr>
              <w:t>意</w:t>
            </w:r>
          </w:p>
          <w:p>
            <w:pPr>
              <w:widowControl/>
              <w:jc w:val="center"/>
              <w:rPr>
                <w:rFonts w:ascii="宋体"/>
                <w:color w:val="000000"/>
                <w:szCs w:val="21"/>
              </w:rPr>
            </w:pPr>
            <w:r>
              <w:rPr>
                <w:rFonts w:hint="eastAsia" w:ascii="宋体"/>
                <w:color w:val="000000"/>
                <w:szCs w:val="21"/>
              </w:rPr>
              <w:t>见</w:t>
            </w:r>
          </w:p>
        </w:tc>
        <w:tc>
          <w:tcPr>
            <w:tcW w:w="4481" w:type="dxa"/>
            <w:gridSpan w:val="6"/>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楷体_GB2312" w:eastAsia="楷体_GB2312"/>
                <w:b/>
                <w:color w:val="000000"/>
                <w:szCs w:val="21"/>
              </w:rPr>
            </w:pPr>
            <w:r>
              <w:rPr>
                <w:rFonts w:hint="eastAsia" w:ascii="楷体_GB2312" w:eastAsia="楷体_GB2312"/>
                <w:b/>
                <w:color w:val="000000"/>
                <w:szCs w:val="21"/>
              </w:rPr>
              <w:t>经审查，符合应聘资格条件。</w:t>
            </w:r>
          </w:p>
          <w:p>
            <w:pPr>
              <w:widowControl/>
              <w:jc w:val="left"/>
              <w:rPr>
                <w:rFonts w:ascii="楷体_GB2312" w:eastAsia="楷体_GB2312"/>
                <w:b/>
                <w:color w:val="000000"/>
                <w:szCs w:val="21"/>
              </w:rPr>
            </w:pPr>
          </w:p>
          <w:p>
            <w:pPr>
              <w:widowControl/>
              <w:jc w:val="left"/>
              <w:rPr>
                <w:rFonts w:ascii="楷体_GB2312" w:eastAsia="楷体_GB2312"/>
                <w:b/>
                <w:color w:val="000000"/>
                <w:szCs w:val="21"/>
              </w:rPr>
            </w:pPr>
            <w:r>
              <w:rPr>
                <w:rFonts w:hint="eastAsia" w:ascii="楷体_GB2312" w:eastAsia="楷体_GB2312"/>
                <w:b/>
                <w:color w:val="000000"/>
                <w:szCs w:val="21"/>
              </w:rPr>
              <w:t>审查人签名：</w:t>
            </w:r>
            <w:r>
              <w:rPr>
                <w:rFonts w:ascii="楷体_GB2312" w:eastAsia="楷体_GB2312"/>
                <w:b/>
                <w:color w:val="000000"/>
                <w:szCs w:val="21"/>
              </w:rPr>
              <w:t xml:space="preserve">       </w:t>
            </w:r>
            <w:r>
              <w:rPr>
                <w:rFonts w:hint="eastAsia" w:ascii="楷体_GB2312" w:eastAsia="楷体_GB2312"/>
                <w:b/>
                <w:color w:val="000000"/>
                <w:szCs w:val="21"/>
              </w:rPr>
              <w:t>招聘单位（章）</w:t>
            </w:r>
          </w:p>
          <w:p>
            <w:pPr>
              <w:widowControl/>
              <w:jc w:val="left"/>
              <w:rPr>
                <w:rFonts w:ascii="楷体_GB2312" w:eastAsia="楷体_GB2312"/>
                <w:b/>
                <w:color w:val="000000"/>
                <w:szCs w:val="21"/>
              </w:rPr>
            </w:pPr>
          </w:p>
          <w:p>
            <w:pPr>
              <w:autoSpaceDE w:val="0"/>
              <w:autoSpaceDN w:val="0"/>
              <w:adjustRightInd w:val="0"/>
              <w:spacing w:line="280" w:lineRule="exact"/>
              <w:ind w:firstLine="1750" w:firstLineChars="833"/>
              <w:rPr>
                <w:rFonts w:ascii="宋体"/>
                <w:color w:val="000000"/>
                <w:szCs w:val="21"/>
              </w:rPr>
            </w:pPr>
            <w:r>
              <w:rPr>
                <w:rFonts w:hint="eastAsia" w:ascii="楷体_GB2312" w:eastAsia="楷体_GB2312"/>
                <w:b/>
                <w:color w:val="000000"/>
                <w:szCs w:val="21"/>
              </w:rPr>
              <w:t>年</w:t>
            </w:r>
            <w:r>
              <w:rPr>
                <w:rFonts w:ascii="楷体_GB2312" w:eastAsia="楷体_GB2312"/>
                <w:b/>
                <w:color w:val="000000"/>
                <w:szCs w:val="21"/>
              </w:rPr>
              <w:t xml:space="preserve">     </w:t>
            </w:r>
            <w:r>
              <w:rPr>
                <w:rFonts w:hint="eastAsia" w:ascii="楷体_GB2312" w:eastAsia="楷体_GB2312"/>
                <w:b/>
                <w:color w:val="000000"/>
                <w:szCs w:val="21"/>
              </w:rPr>
              <w:t>月</w:t>
            </w:r>
            <w:r>
              <w:rPr>
                <w:rFonts w:ascii="楷体_GB2312" w:eastAsia="楷体_GB2312"/>
                <w:b/>
                <w:color w:val="000000"/>
                <w:szCs w:val="21"/>
              </w:rPr>
              <w:t xml:space="preserve">    </w:t>
            </w:r>
            <w:r>
              <w:rPr>
                <w:rFonts w:hint="eastAsia" w:ascii="楷体_GB2312" w:eastAsia="楷体_GB2312"/>
                <w:b/>
                <w:color w:val="000000"/>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616" w:hRule="atLeast"/>
        </w:trPr>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备</w:t>
            </w:r>
          </w:p>
          <w:p>
            <w:pPr>
              <w:autoSpaceDE w:val="0"/>
              <w:autoSpaceDN w:val="0"/>
              <w:adjustRightInd w:val="0"/>
              <w:spacing w:line="280" w:lineRule="exact"/>
              <w:jc w:val="center"/>
              <w:rPr>
                <w:rFonts w:ascii="宋体"/>
                <w:color w:val="000000"/>
                <w:szCs w:val="21"/>
              </w:rPr>
            </w:pPr>
            <w:r>
              <w:rPr>
                <w:rFonts w:hint="eastAsia" w:ascii="宋体"/>
                <w:color w:val="000000"/>
                <w:szCs w:val="21"/>
              </w:rPr>
              <w:t>注</w:t>
            </w:r>
          </w:p>
        </w:tc>
        <w:tc>
          <w:tcPr>
            <w:tcW w:w="8678"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bl>
    <w:p>
      <w:pPr>
        <w:pStyle w:val="3"/>
        <w:ind w:left="-540" w:leftChars="-257" w:right="250" w:rightChars="119" w:firstLine="420" w:firstLineChars="200"/>
        <w:rPr>
          <w:rFonts w:hint="eastAsia"/>
          <w:color w:val="000000"/>
        </w:rPr>
      </w:pPr>
      <w:r>
        <w:rPr>
          <w:rFonts w:hint="eastAsia"/>
          <w:color w:val="000000"/>
        </w:rPr>
        <w:t>说明：</w:t>
      </w:r>
      <w:r>
        <w:rPr>
          <w:color w:val="000000"/>
        </w:rPr>
        <w:t>1</w:t>
      </w:r>
      <w:r>
        <w:rPr>
          <w:rFonts w:hint="eastAsia"/>
          <w:color w:val="000000"/>
        </w:rPr>
        <w:t>、报名序号由招聘单位填写。</w:t>
      </w:r>
    </w:p>
    <w:p>
      <w:pPr>
        <w:pStyle w:val="3"/>
        <w:numPr>
          <w:ilvl w:val="0"/>
          <w:numId w:val="0"/>
        </w:numPr>
        <w:ind w:leftChars="-57" w:right="250" w:rightChars="119"/>
        <w:rPr>
          <w:rFonts w:hint="eastAsia"/>
          <w:color w:val="000000"/>
        </w:rPr>
      </w:pPr>
      <w:r>
        <w:rPr>
          <w:rFonts w:hint="eastAsia"/>
          <w:color w:val="000000"/>
          <w:lang w:val="en-US" w:eastAsia="zh-CN"/>
        </w:rPr>
        <w:t xml:space="preserve">      2、</w:t>
      </w:r>
      <w:r>
        <w:rPr>
          <w:rFonts w:hint="eastAsia"/>
          <w:color w:val="000000"/>
        </w:rPr>
        <w:t>考生必须如实填写上述内容，如填报虚假信息者，取消考试或聘用资格。</w:t>
      </w:r>
    </w:p>
    <w:p>
      <w:pPr>
        <w:pStyle w:val="3"/>
        <w:numPr>
          <w:ilvl w:val="0"/>
          <w:numId w:val="0"/>
        </w:numPr>
        <w:ind w:leftChars="-57" w:right="250" w:rightChars="119"/>
        <w:rPr>
          <w:color w:val="000000"/>
        </w:rPr>
      </w:pPr>
      <w:r>
        <w:rPr>
          <w:rFonts w:hint="eastAsia"/>
          <w:color w:val="000000"/>
          <w:lang w:val="en-US" w:eastAsia="zh-CN"/>
        </w:rPr>
        <w:t xml:space="preserve">      </w:t>
      </w:r>
      <w:r>
        <w:rPr>
          <w:color w:val="000000"/>
        </w:rPr>
        <w:t>3</w:t>
      </w:r>
      <w:r>
        <w:rPr>
          <w:rFonts w:hint="eastAsia"/>
          <w:color w:val="000000"/>
        </w:rPr>
        <w:t>、经审查符合资格条件后，此表由招聘单位留存，并由考生现场登记确认。</w:t>
      </w:r>
    </w:p>
    <w:p>
      <w:pPr>
        <w:pStyle w:val="3"/>
        <w:numPr>
          <w:ilvl w:val="0"/>
          <w:numId w:val="0"/>
        </w:numPr>
        <w:ind w:leftChars="-57" w:right="250" w:rightChars="119"/>
        <w:rPr>
          <w:color w:val="000000"/>
        </w:rPr>
      </w:pPr>
      <w:r>
        <w:rPr>
          <w:rFonts w:hint="eastAsia"/>
          <w:color w:val="000000"/>
          <w:lang w:val="en-US" w:eastAsia="zh-CN"/>
        </w:rPr>
        <w:t xml:space="preserve">      </w:t>
      </w:r>
      <w:r>
        <w:rPr>
          <w:color w:val="000000"/>
        </w:rPr>
        <w:t>4</w:t>
      </w:r>
      <w:r>
        <w:rPr>
          <w:rFonts w:hint="eastAsia"/>
          <w:color w:val="000000"/>
        </w:rPr>
        <w:t>、考生需准备</w:t>
      </w:r>
      <w:r>
        <w:rPr>
          <w:color w:val="000000"/>
        </w:rPr>
        <w:t>1</w:t>
      </w:r>
      <w:r>
        <w:rPr>
          <w:rFonts w:hint="eastAsia"/>
          <w:color w:val="000000"/>
        </w:rPr>
        <w:t>寸彩色登记照片</w:t>
      </w:r>
      <w:r>
        <w:rPr>
          <w:color w:val="000000"/>
        </w:rPr>
        <w:t>3</w:t>
      </w:r>
      <w:r>
        <w:rPr>
          <w:rFonts w:hint="eastAsia"/>
          <w:color w:val="000000"/>
        </w:rPr>
        <w:t>张，照片背面请写上自己的名字。</w:t>
      </w:r>
    </w:p>
    <w:p>
      <w:pPr>
        <w:pStyle w:val="3"/>
        <w:numPr>
          <w:ilvl w:val="0"/>
          <w:numId w:val="0"/>
        </w:numPr>
        <w:ind w:leftChars="-57" w:right="250" w:rightChars="119"/>
        <w:rPr>
          <w:color w:val="000000"/>
        </w:rPr>
      </w:pPr>
      <w:r>
        <w:rPr>
          <w:rFonts w:hint="eastAsia"/>
          <w:color w:val="000000"/>
          <w:lang w:val="en-US" w:eastAsia="zh-CN"/>
        </w:rPr>
        <w:t xml:space="preserve">      </w:t>
      </w:r>
      <w:r>
        <w:rPr>
          <w:color w:val="000000"/>
        </w:rPr>
        <w:t>5</w:t>
      </w:r>
      <w:r>
        <w:rPr>
          <w:rFonts w:hint="eastAsia"/>
          <w:color w:val="000000"/>
        </w:rPr>
        <w:t>、如有其他学术成果或课题及需要说明的情况可另附。</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Arial Unicode MS">
    <w:altName w:val="Arial"/>
    <w:panose1 w:val="020B0604020202020204"/>
    <w:charset w:val="00"/>
    <w:family w:val="auto"/>
    <w:pitch w:val="default"/>
    <w:sig w:usb0="00000000" w:usb1="00000000" w:usb2="00000000" w:usb3="00000000" w:csb0="00000001" w:csb1="00000000"/>
  </w:font>
  <w:font w:name="楷体_GB2312">
    <w:altName w:val="微软雅黑"/>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altName w:val="宋体"/>
    <w:panose1 w:val="02010609060101010101"/>
    <w:charset w:val="86"/>
    <w:family w:val="auto"/>
    <w:pitch w:val="default"/>
    <w:sig w:usb0="00000000" w:usb1="00000000" w:usb2="00000016"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5975"/>
    <w:multiLevelType w:val="singleLevel"/>
    <w:tmpl w:val="59CC597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5903E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99"/>
    <w:pPr>
      <w:spacing w:beforeAutospacing="1" w:afterAutospacing="1"/>
      <w:jc w:val="left"/>
      <w:outlineLvl w:val="2"/>
    </w:pPr>
    <w:rPr>
      <w:rFonts w:ascii="宋体" w:hAnsi="宋体"/>
      <w:b/>
      <w:kern w:val="0"/>
      <w:sz w:val="27"/>
      <w:szCs w:val="27"/>
    </w:rPr>
  </w:style>
  <w:style w:type="character" w:default="1" w:styleId="6">
    <w:name w:val="Default Paragraph Font"/>
    <w:semiHidden/>
    <w:uiPriority w:val="99"/>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link w:val="11"/>
    <w:qFormat/>
    <w:uiPriority w:val="99"/>
    <w:pPr>
      <w:spacing w:line="280" w:lineRule="exact"/>
      <w:ind w:left="810" w:leftChars="1" w:hanging="808" w:hangingChars="385"/>
    </w:pPr>
    <w:rPr>
      <w:rFonts w:ascii="宋体" w:hAnsi="宋体"/>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nhideWhenUsed/>
    <w:qFormat/>
    <w:uiPriority w:val="99"/>
  </w:style>
  <w:style w:type="character" w:styleId="8">
    <w:name w:val="Hyperlink"/>
    <w:basedOn w:val="6"/>
    <w:qFormat/>
    <w:uiPriority w:val="99"/>
    <w:rPr>
      <w:rFonts w:cs="Times New Roman"/>
      <w:color w:val="0000FF"/>
      <w:u w:val="single"/>
    </w:rPr>
  </w:style>
  <w:style w:type="character" w:customStyle="1" w:styleId="10">
    <w:name w:val="Heading 3 Char"/>
    <w:basedOn w:val="6"/>
    <w:link w:val="2"/>
    <w:qFormat/>
    <w:uiPriority w:val="9"/>
    <w:rPr>
      <w:rFonts w:ascii="Times New Roman" w:hAnsi="Times New Roman"/>
      <w:b/>
      <w:bCs/>
      <w:sz w:val="32"/>
      <w:szCs w:val="32"/>
    </w:rPr>
  </w:style>
  <w:style w:type="character" w:customStyle="1" w:styleId="11">
    <w:name w:val="Body Text Indent Char Char"/>
    <w:basedOn w:val="6"/>
    <w:link w:val="3"/>
    <w:uiPriority w:val="99"/>
    <w:rPr>
      <w:rFonts w:ascii="Times New Roman" w:hAnsi="Times New Roman"/>
      <w:szCs w:val="24"/>
    </w:rPr>
  </w:style>
  <w:style w:type="character" w:customStyle="1" w:styleId="12">
    <w:name w:val="Footer Char"/>
    <w:basedOn w:val="6"/>
    <w:link w:val="4"/>
    <w:qFormat/>
    <w:uiPriority w:val="99"/>
    <w:rPr>
      <w:rFonts w:ascii="Times New Roman" w:hAnsi="Times New Roman"/>
      <w:sz w:val="18"/>
      <w:szCs w:val="18"/>
    </w:rPr>
  </w:style>
  <w:style w:type="character" w:customStyle="1" w:styleId="13">
    <w:name w:val="Header Char"/>
    <w:basedOn w:val="6"/>
    <w:link w:val="5"/>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677</Words>
  <Characters>3861</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2017-10-10T07:51:00Z</cp:lastPrinted>
  <dcterms:modified xsi:type="dcterms:W3CDTF">2017-10-12T02:16:51Z</dcterms:modified>
  <dc:title>邵阳市住房公积金管理中心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