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80" w:lineRule="exact"/>
        <w:rPr>
          <w:rFonts w:eastAsia="黑体"/>
          <w:sz w:val="32"/>
          <w:szCs w:val="32"/>
        </w:rPr>
      </w:pPr>
      <w:bookmarkStart w:id="0" w:name="_GoBack"/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 xml:space="preserve">1              </w:t>
      </w:r>
    </w:p>
    <w:bookmarkEnd w:id="0"/>
    <w:p>
      <w:pPr>
        <w:overflowPunct w:val="0"/>
        <w:topLinePunct/>
        <w:spacing w:line="580" w:lineRule="exact"/>
        <w:ind w:firstLine="2650" w:firstLineChars="600"/>
        <w:rPr>
          <w:b/>
          <w:sz w:val="40"/>
          <w:szCs w:val="40"/>
        </w:rPr>
      </w:pPr>
      <w:r>
        <w:rPr>
          <w:rFonts w:hAnsi="宋体"/>
          <w:b/>
          <w:sz w:val="44"/>
          <w:szCs w:val="44"/>
        </w:rPr>
        <w:t>彭德怀纪念馆</w:t>
      </w:r>
      <w:r>
        <w:rPr>
          <w:b/>
          <w:sz w:val="44"/>
          <w:szCs w:val="44"/>
        </w:rPr>
        <w:t>2017</w:t>
      </w:r>
      <w:r>
        <w:rPr>
          <w:rFonts w:hAnsi="宋体"/>
          <w:b/>
          <w:sz w:val="44"/>
          <w:szCs w:val="44"/>
        </w:rPr>
        <w:t>年公开招聘工作人员岗位表</w:t>
      </w:r>
    </w:p>
    <w:p>
      <w:pPr>
        <w:overflowPunct w:val="0"/>
        <w:topLinePunct/>
        <w:spacing w:line="580" w:lineRule="exact"/>
        <w:rPr>
          <w:b/>
          <w:sz w:val="40"/>
          <w:szCs w:val="40"/>
        </w:rPr>
      </w:pPr>
    </w:p>
    <w:tbl>
      <w:tblPr>
        <w:tblStyle w:val="3"/>
        <w:tblW w:w="1418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549"/>
        <w:gridCol w:w="732"/>
        <w:gridCol w:w="1281"/>
        <w:gridCol w:w="732"/>
        <w:gridCol w:w="2038"/>
        <w:gridCol w:w="7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459" w:type="dxa"/>
            <w:vMerge w:val="restart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岗位名称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招聘人数</w:t>
            </w:r>
          </w:p>
        </w:tc>
        <w:tc>
          <w:tcPr>
            <w:tcW w:w="12172" w:type="dxa"/>
            <w:gridSpan w:val="5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岗</w:t>
            </w:r>
            <w:r>
              <w:t xml:space="preserve">    </w:t>
            </w:r>
            <w:r>
              <w:rPr>
                <w:rFonts w:hAnsi="宋体"/>
              </w:rPr>
              <w:t>位</w:t>
            </w:r>
            <w:r>
              <w:t xml:space="preserve">    </w:t>
            </w:r>
            <w:r>
              <w:rPr>
                <w:rFonts w:hAnsi="宋体"/>
              </w:rPr>
              <w:t>条</w:t>
            </w:r>
            <w:r>
              <w:t xml:space="preserve">    </w:t>
            </w:r>
            <w:r>
              <w:rPr>
                <w:rFonts w:hAnsi="宋体"/>
              </w:rPr>
              <w:t>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59" w:type="dxa"/>
            <w:vMerge w:val="continue"/>
            <w:vAlign w:val="center"/>
          </w:tcPr>
          <w:p>
            <w:pPr>
              <w:overflowPunct w:val="0"/>
              <w:topLinePunct/>
              <w:jc w:val="center"/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overflowPunct w:val="0"/>
              <w:topLinePunct/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年龄要求</w:t>
            </w:r>
          </w:p>
        </w:tc>
        <w:tc>
          <w:tcPr>
            <w:tcW w:w="732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最低学历要求</w:t>
            </w:r>
          </w:p>
        </w:tc>
        <w:tc>
          <w:tcPr>
            <w:tcW w:w="2038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738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其他要求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宣传教育员</w:t>
            </w:r>
          </w:p>
        </w:tc>
        <w:tc>
          <w:tcPr>
            <w:tcW w:w="54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6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男女</w:t>
            </w:r>
            <w:r>
              <w:t xml:space="preserve"> </w:t>
            </w:r>
            <w:r>
              <w:rPr>
                <w:rFonts w:hAnsi="宋体"/>
              </w:rPr>
              <w:t>不限</w:t>
            </w:r>
          </w:p>
        </w:tc>
        <w:tc>
          <w:tcPr>
            <w:tcW w:w="1281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18</w:t>
            </w:r>
            <w:r>
              <w:rPr>
                <w:rFonts w:hAnsi="宋体"/>
              </w:rPr>
              <w:t>周岁以上、</w:t>
            </w:r>
          </w:p>
          <w:p>
            <w:pPr>
              <w:overflowPunct w:val="0"/>
              <w:topLinePunct/>
              <w:jc w:val="center"/>
            </w:pPr>
            <w:r>
              <w:t>30</w:t>
            </w:r>
            <w:r>
              <w:rPr>
                <w:rFonts w:hAnsi="宋体"/>
              </w:rPr>
              <w:t>周岁以下</w:t>
            </w:r>
          </w:p>
        </w:tc>
        <w:tc>
          <w:tcPr>
            <w:tcW w:w="732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本科</w:t>
            </w:r>
          </w:p>
        </w:tc>
        <w:tc>
          <w:tcPr>
            <w:tcW w:w="2038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不限</w:t>
            </w:r>
          </w:p>
        </w:tc>
        <w:tc>
          <w:tcPr>
            <w:tcW w:w="7389" w:type="dxa"/>
            <w:vAlign w:val="center"/>
          </w:tcPr>
          <w:p>
            <w:pPr>
              <w:overflowPunct w:val="0"/>
              <w:topLinePunct/>
            </w:pPr>
            <w:r>
              <w:t xml:space="preserve">    1</w:t>
            </w:r>
            <w:r>
              <w:rPr>
                <w:rFonts w:hAnsi="宋体"/>
              </w:rPr>
              <w:t>、相貌端庄，气质良好，身材匀称，无纹身，无身体缺陷。男身高</w:t>
            </w:r>
            <w:r>
              <w:t>1.72</w:t>
            </w:r>
            <w:r>
              <w:rPr>
                <w:rFonts w:hAnsi="宋体"/>
              </w:rPr>
              <w:t>米、女身高</w:t>
            </w:r>
            <w:r>
              <w:t>1.60</w:t>
            </w:r>
            <w:r>
              <w:rPr>
                <w:rFonts w:hAnsi="宋体"/>
              </w:rPr>
              <w:t>米以上。</w:t>
            </w:r>
          </w:p>
          <w:p>
            <w:pPr>
              <w:overflowPunct w:val="0"/>
              <w:topLinePunct/>
            </w:pPr>
            <w:r>
              <w:t xml:space="preserve">    2</w:t>
            </w:r>
            <w:r>
              <w:rPr>
                <w:rFonts w:hAnsi="宋体"/>
              </w:rPr>
              <w:t>、普通话水平测试等级证书二级甲等以上；有讲解员、宣教员从业经历</w:t>
            </w:r>
            <w:r>
              <w:t>5</w:t>
            </w:r>
            <w:r>
              <w:rPr>
                <w:rFonts w:hAnsi="宋体"/>
              </w:rPr>
              <w:t>年以上的，年龄要求可放宽至</w:t>
            </w:r>
            <w:r>
              <w:t>32</w:t>
            </w:r>
            <w:r>
              <w:rPr>
                <w:rFonts w:hAnsi="宋体"/>
              </w:rPr>
              <w:t>周岁。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>档案管理员</w:t>
            </w:r>
          </w:p>
        </w:tc>
        <w:tc>
          <w:tcPr>
            <w:tcW w:w="54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overflowPunct w:val="0"/>
              <w:topLinePunct/>
              <w:jc w:val="center"/>
            </w:pPr>
          </w:p>
        </w:tc>
        <w:tc>
          <w:tcPr>
            <w:tcW w:w="1281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18</w:t>
            </w:r>
            <w:r>
              <w:rPr>
                <w:rFonts w:hAnsi="宋体"/>
              </w:rPr>
              <w:t>周岁以上、</w:t>
            </w:r>
          </w:p>
          <w:p>
            <w:pPr>
              <w:overflowPunct w:val="0"/>
              <w:topLinePunct/>
              <w:jc w:val="center"/>
            </w:pPr>
            <w:r>
              <w:t>32</w:t>
            </w:r>
            <w:r>
              <w:rPr>
                <w:rFonts w:hAnsi="宋体"/>
              </w:rPr>
              <w:t>周岁以下</w:t>
            </w:r>
          </w:p>
        </w:tc>
        <w:tc>
          <w:tcPr>
            <w:tcW w:w="732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本科</w:t>
            </w:r>
          </w:p>
        </w:tc>
        <w:tc>
          <w:tcPr>
            <w:tcW w:w="2038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不限</w:t>
            </w:r>
          </w:p>
        </w:tc>
        <w:tc>
          <w:tcPr>
            <w:tcW w:w="7389" w:type="dxa"/>
            <w:vAlign w:val="center"/>
          </w:tcPr>
          <w:p>
            <w:pPr>
              <w:overflowPunct w:val="0"/>
              <w:topLinePunct/>
              <w:ind w:firstLine="420" w:firstLineChars="200"/>
              <w:jc w:val="left"/>
            </w:pPr>
            <w:r>
              <w:t>2</w:t>
            </w:r>
            <w:r>
              <w:rPr>
                <w:rFonts w:hAnsi="宋体"/>
              </w:rPr>
              <w:t>年及以上相关工作经历。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</w:pPr>
            <w:r>
              <w:t>计算机</w:t>
            </w:r>
          </w:p>
          <w:p>
            <w:pPr>
              <w:jc w:val="center"/>
              <w:rPr>
                <w:sz w:val="24"/>
              </w:rPr>
            </w:pPr>
            <w:r>
              <w:t>管理人员</w:t>
            </w:r>
          </w:p>
        </w:tc>
        <w:tc>
          <w:tcPr>
            <w:tcW w:w="54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overflowPunct w:val="0"/>
              <w:topLinePunct/>
              <w:jc w:val="center"/>
            </w:pPr>
          </w:p>
        </w:tc>
        <w:tc>
          <w:tcPr>
            <w:tcW w:w="1281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18</w:t>
            </w:r>
            <w:r>
              <w:rPr>
                <w:rFonts w:hAnsi="宋体"/>
              </w:rPr>
              <w:t>周岁以上、</w:t>
            </w:r>
          </w:p>
          <w:p>
            <w:pPr>
              <w:overflowPunct w:val="0"/>
              <w:topLinePunct/>
              <w:jc w:val="center"/>
            </w:pPr>
            <w:r>
              <w:t>32</w:t>
            </w:r>
            <w:r>
              <w:rPr>
                <w:rFonts w:hAnsi="宋体"/>
              </w:rPr>
              <w:t>周岁以下</w:t>
            </w:r>
          </w:p>
        </w:tc>
        <w:tc>
          <w:tcPr>
            <w:tcW w:w="732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专科</w:t>
            </w:r>
          </w:p>
        </w:tc>
        <w:tc>
          <w:tcPr>
            <w:tcW w:w="2038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电子、通信、计算机类</w:t>
            </w:r>
          </w:p>
        </w:tc>
        <w:tc>
          <w:tcPr>
            <w:tcW w:w="7389" w:type="dxa"/>
            <w:vAlign w:val="center"/>
          </w:tcPr>
          <w:p>
            <w:pPr>
              <w:overflowPunct w:val="0"/>
              <w:topLinePunct/>
              <w:ind w:firstLine="420" w:firstLineChars="200"/>
              <w:jc w:val="left"/>
            </w:pPr>
            <w:r>
              <w:t>5</w:t>
            </w:r>
            <w:r>
              <w:rPr>
                <w:rFonts w:hAnsi="宋体"/>
              </w:rPr>
              <w:t>年及以上相关工作经历。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财务人员</w:t>
            </w:r>
          </w:p>
        </w:tc>
        <w:tc>
          <w:tcPr>
            <w:tcW w:w="54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overflowPunct w:val="0"/>
              <w:topLinePunct/>
              <w:jc w:val="center"/>
            </w:pPr>
          </w:p>
        </w:tc>
        <w:tc>
          <w:tcPr>
            <w:tcW w:w="1281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18</w:t>
            </w:r>
            <w:r>
              <w:rPr>
                <w:rFonts w:hAnsi="宋体"/>
              </w:rPr>
              <w:t>周岁以上、</w:t>
            </w:r>
          </w:p>
          <w:p>
            <w:pPr>
              <w:overflowPunct w:val="0"/>
              <w:topLinePunct/>
              <w:jc w:val="center"/>
            </w:pPr>
            <w:r>
              <w:t>32</w:t>
            </w:r>
            <w:r>
              <w:rPr>
                <w:rFonts w:hAnsi="宋体"/>
              </w:rPr>
              <w:t>周岁以下</w:t>
            </w:r>
          </w:p>
        </w:tc>
        <w:tc>
          <w:tcPr>
            <w:tcW w:w="732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本科</w:t>
            </w:r>
          </w:p>
        </w:tc>
        <w:tc>
          <w:tcPr>
            <w:tcW w:w="2038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不限</w:t>
            </w:r>
          </w:p>
        </w:tc>
        <w:tc>
          <w:tcPr>
            <w:tcW w:w="7389" w:type="dxa"/>
            <w:vAlign w:val="center"/>
          </w:tcPr>
          <w:p>
            <w:pPr>
              <w:overflowPunct w:val="0"/>
              <w:topLinePunct/>
              <w:ind w:firstLine="420" w:firstLineChars="200"/>
            </w:pPr>
            <w:r>
              <w:t>2</w:t>
            </w:r>
            <w:r>
              <w:rPr>
                <w:rFonts w:hAnsi="宋体"/>
              </w:rPr>
              <w:t>年及以上相关工作经历。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陈列工作人员</w:t>
            </w:r>
          </w:p>
        </w:tc>
        <w:tc>
          <w:tcPr>
            <w:tcW w:w="54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overflowPunct w:val="0"/>
              <w:topLinePunct/>
              <w:jc w:val="center"/>
            </w:pPr>
          </w:p>
        </w:tc>
        <w:tc>
          <w:tcPr>
            <w:tcW w:w="1281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18</w:t>
            </w:r>
            <w:r>
              <w:rPr>
                <w:rFonts w:hAnsi="宋体"/>
              </w:rPr>
              <w:t>周岁以上、</w:t>
            </w:r>
          </w:p>
          <w:p>
            <w:pPr>
              <w:overflowPunct w:val="0"/>
              <w:topLinePunct/>
              <w:jc w:val="center"/>
            </w:pPr>
            <w:r>
              <w:t>32</w:t>
            </w:r>
            <w:r>
              <w:rPr>
                <w:rFonts w:hAnsi="宋体"/>
              </w:rPr>
              <w:t>周岁以下</w:t>
            </w:r>
          </w:p>
        </w:tc>
        <w:tc>
          <w:tcPr>
            <w:tcW w:w="732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本科</w:t>
            </w:r>
          </w:p>
        </w:tc>
        <w:tc>
          <w:tcPr>
            <w:tcW w:w="2038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文史哲大类</w:t>
            </w:r>
          </w:p>
        </w:tc>
        <w:tc>
          <w:tcPr>
            <w:tcW w:w="7389" w:type="dxa"/>
            <w:vAlign w:val="center"/>
          </w:tcPr>
          <w:p>
            <w:pPr>
              <w:overflowPunct w:val="0"/>
              <w:topLinePunct/>
              <w:ind w:firstLine="210" w:firstLineChars="100"/>
            </w:pPr>
            <w: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专业技术人员</w:t>
            </w:r>
          </w:p>
        </w:tc>
        <w:tc>
          <w:tcPr>
            <w:tcW w:w="54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overflowPunct w:val="0"/>
              <w:topLinePunct/>
              <w:jc w:val="center"/>
            </w:pPr>
          </w:p>
        </w:tc>
        <w:tc>
          <w:tcPr>
            <w:tcW w:w="1281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t>18</w:t>
            </w:r>
            <w:r>
              <w:rPr>
                <w:rFonts w:hAnsi="宋体"/>
              </w:rPr>
              <w:t>周岁以上、</w:t>
            </w:r>
          </w:p>
          <w:p>
            <w:pPr>
              <w:overflowPunct w:val="0"/>
              <w:topLinePunct/>
            </w:pPr>
            <w:r>
              <w:t>32</w:t>
            </w:r>
            <w:r>
              <w:rPr>
                <w:rFonts w:hAnsi="宋体"/>
              </w:rPr>
              <w:t>周岁以下</w:t>
            </w:r>
          </w:p>
        </w:tc>
        <w:tc>
          <w:tcPr>
            <w:tcW w:w="732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本科</w:t>
            </w:r>
          </w:p>
        </w:tc>
        <w:tc>
          <w:tcPr>
            <w:tcW w:w="2038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hAnsi="宋体"/>
              </w:rPr>
              <w:t>电气类、电气工程类、土建类</w:t>
            </w:r>
          </w:p>
        </w:tc>
        <w:tc>
          <w:tcPr>
            <w:tcW w:w="7389" w:type="dxa"/>
            <w:vAlign w:val="center"/>
          </w:tcPr>
          <w:p>
            <w:pPr>
              <w:overflowPunct w:val="0"/>
              <w:topLinePunct/>
              <w:ind w:firstLine="420" w:firstLineChars="200"/>
              <w:rPr>
                <w:color w:val="FF0000"/>
              </w:rPr>
            </w:pPr>
            <w:r>
              <w:t>2</w:t>
            </w:r>
            <w:r>
              <w:rPr>
                <w:rFonts w:hAnsi="宋体"/>
              </w:rPr>
              <w:t>年及以上相关工作经历并有相关从业证书。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424D6"/>
    <w:rsid w:val="10D424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2017-11-22T02:10:00Z</dcterms:created>
  <dc:creator>Administrator</dc:creator>
  <cp:lastModifiedBy>Administrator</cp:lastModifiedBy>
  <dcterms:modified xsi:type="dcterms:W3CDTF">2017-11-22T02:11:20Z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