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4" w:type="dxa"/>
        <w:tblCellSpacing w:w="7" w:type="dxa"/>
        <w:tblInd w:w="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64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7" w:type="dxa"/>
        </w:trPr>
        <w:tc>
          <w:tcPr>
            <w:tcW w:w="8334" w:type="dxa"/>
            <w:shd w:val="clear" w:color="auto" w:fill="FFFFFF"/>
            <w:vAlign w:val="center"/>
          </w:tcPr>
          <w:tbl>
            <w:tblPr>
              <w:tblW w:w="8306" w:type="dxa"/>
              <w:tblCellSpacing w:w="7" w:type="dxa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306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8276" w:type="dxa"/>
                  <w:shd w:val="clear"/>
                  <w:vAlign w:val="top"/>
                </w:tcPr>
                <w:tbl>
                  <w:tblPr>
                    <w:tblW w:w="10399" w:type="dxa"/>
                    <w:tblInd w:w="1" w:type="dxa"/>
                    <w:tblBorders>
                      <w:top w:val="outset" w:color="000000" w:sz="6" w:space="0"/>
                      <w:left w:val="outset" w:color="000000" w:sz="6" w:space="0"/>
                      <w:bottom w:val="outset" w:color="000000" w:sz="6" w:space="0"/>
                      <w:right w:val="outset" w:color="000000" w:sz="6" w:space="0"/>
                      <w:insideH w:val="outset" w:color="000000" w:sz="6" w:space="0"/>
                      <w:insideV w:val="outset" w:color="000000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51"/>
                    <w:gridCol w:w="1360"/>
                    <w:gridCol w:w="548"/>
                    <w:gridCol w:w="1140"/>
                    <w:gridCol w:w="1080"/>
                    <w:gridCol w:w="2620"/>
                    <w:gridCol w:w="1800"/>
                  </w:tblGrid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10399" w:type="dxa"/>
                        <w:gridSpan w:val="7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single" w:color="000000" w:sz="4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  <w:u w:val="none"/>
                          </w:rPr>
                          <w:t>2017年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  <w:u w:val="none"/>
                          </w:rPr>
                          <w:t>山西省</w:t>
                        </w:r>
                        <w:bookmarkStart w:id="0" w:name="_GoBack"/>
                        <w:bookmarkEnd w:id="0"/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  <w:u w:val="none"/>
                          </w:rPr>
                          <w:t>人民医院赴省外重点院校公开招聘工作人员需求信息表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399" w:type="dxa"/>
                        <w:gridSpan w:val="7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single" w:color="000000" w:sz="4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4454AB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80" w:hRule="atLeast"/>
                    </w:trPr>
                    <w:tc>
                      <w:tcPr>
                        <w:tcW w:w="1851" w:type="dxa"/>
                        <w:tcBorders>
                          <w:top w:val="nil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招聘单位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岗位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人数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年龄要求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学历要求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专业要求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其它要求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40" w:hRule="atLeast"/>
                    </w:trPr>
                    <w:tc>
                      <w:tcPr>
                        <w:tcW w:w="1851" w:type="dxa"/>
                        <w:tcBorders>
                          <w:top w:val="nil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山西省人民医院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精准医学中心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专技岗位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5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40周岁及以下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全日制博士研究生学历、学位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color w:val="4454AB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病理学、病理与病理生理学、分子生物学、生物化学、药理学、生物统计学、医学遗传学等专业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color w:val="4454AB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1、英语六级426分以上；2、医师岗位要求有执业医师资格证书。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0" w:hRule="atLeast"/>
                    </w:trPr>
                    <w:tc>
                      <w:tcPr>
                        <w:tcW w:w="1851" w:type="dxa"/>
                        <w:tcBorders>
                          <w:top w:val="nil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山西省人民医院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医学类专技岗位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14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40周岁及以下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全日制博士研究生学历、学位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color w:val="4454AB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内科学、外科学、妇产科学、儿科学、神经病学、康复医学、介入放射学、影像医学与核医学、口腔医学、麻醉学、耳鼻咽喉科学、眼科学、肿瘤学、重症医学、临床检验诊断学、护理学、药学等专业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color w:val="4454AB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1、英语六级426分以上；2、医师岗位要求有执业医师资格证书；3、护理岗位要求有护士执业资格证书。</w:t>
                        </w:r>
                      </w:p>
                    </w:tc>
                  </w:tr>
                </w:tbl>
                <w:p>
                  <w:pPr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spacing w:line="401" w:lineRule="atLeast"/>
              <w:jc w:val="left"/>
              <w:rPr>
                <w:rFonts w:hint="eastAsia" w:ascii="宋体" w:hAnsi="宋体" w:eastAsia="宋体" w:cs="宋体"/>
                <w:caps w:val="0"/>
                <w:color w:val="4454AB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7" w:type="dxa"/>
        </w:trPr>
        <w:tc>
          <w:tcPr>
            <w:tcW w:w="8334" w:type="dxa"/>
            <w:tcBorders>
              <w:bottom w:val="single" w:color="0B6E74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454AB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454AB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677CB"/>
    <w:rsid w:val="20867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2017-11-23T03:23:00Z</dcterms:created>
  <dc:creator>ASUS</dc:creator>
  <cp:lastModifiedBy>ASUS</cp:lastModifiedBy>
  <dcterms:modified xsi:type="dcterms:W3CDTF">2017-11-23T03:23:38Z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